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4A61" w14:textId="078059B8" w:rsidR="00EE1587" w:rsidRPr="00E2736B" w:rsidRDefault="00EE1587" w:rsidP="00EE1587">
      <w:pPr>
        <w:pStyle w:val="Heading1"/>
      </w:pPr>
      <w:r w:rsidRPr="00E2736B">
        <w:t>AGENDA ITEM #</w:t>
      </w:r>
      <w:r w:rsidR="00CA59E7">
        <w:t>12</w:t>
      </w:r>
      <w:r w:rsidRPr="00E2736B">
        <w:t xml:space="preserve">: </w:t>
      </w:r>
      <w:r>
        <w:t>CEO UPDATE</w:t>
      </w:r>
    </w:p>
    <w:p w14:paraId="14795AF6" w14:textId="4B5EEA79" w:rsidR="00EE1587" w:rsidRDefault="00EE1587" w:rsidP="00EE1587">
      <w:pPr>
        <w:pStyle w:val="Heading1"/>
        <w:rPr>
          <w:rFonts w:ascii="Arial" w:hAnsi="Arial"/>
          <w:i/>
          <w:iCs/>
          <w:sz w:val="20"/>
          <w:szCs w:val="20"/>
        </w:rPr>
      </w:pPr>
      <w:r>
        <w:rPr>
          <w:rFonts w:ascii="Arial" w:hAnsi="Arial"/>
          <w:b w:val="0"/>
          <w:bCs w:val="0"/>
          <w:i/>
          <w:iCs/>
          <w:sz w:val="20"/>
          <w:szCs w:val="20"/>
        </w:rPr>
        <w:t>A copy of the most recent CEO Update (September 2021). The next will be sent out December 2021.</w:t>
      </w:r>
    </w:p>
    <w:p w14:paraId="0EA33C2D" w14:textId="77777777" w:rsidR="00EE1587" w:rsidRPr="00CA392D" w:rsidRDefault="00EE1587" w:rsidP="00EE1587">
      <w:pPr>
        <w:spacing w:after="160" w:line="259" w:lineRule="auto"/>
        <w:rPr>
          <w:rFonts w:ascii="Calibri" w:eastAsia="Calibri" w:hAnsi="Calibri"/>
          <w:sz w:val="22"/>
          <w:szCs w:val="22"/>
        </w:rPr>
      </w:pPr>
    </w:p>
    <w:tbl>
      <w:tblPr>
        <w:tblW w:w="0" w:type="auto"/>
        <w:jc w:val="center"/>
        <w:tblCellMar>
          <w:left w:w="0" w:type="dxa"/>
          <w:right w:w="0" w:type="dxa"/>
        </w:tblCellMar>
        <w:tblLook w:val="04A0" w:firstRow="1" w:lastRow="0" w:firstColumn="1" w:lastColumn="0" w:noHBand="0" w:noVBand="1"/>
      </w:tblPr>
      <w:tblGrid>
        <w:gridCol w:w="9000"/>
      </w:tblGrid>
      <w:tr w:rsidR="00EE1587" w14:paraId="6805CEA9" w14:textId="77777777" w:rsidTr="00EE1587">
        <w:trPr>
          <w:jc w:val="center"/>
        </w:trPr>
        <w:tc>
          <w:tcPr>
            <w:tcW w:w="9000" w:type="dxa"/>
            <w:shd w:val="clear" w:color="auto" w:fill="FFFFFF"/>
            <w:vAlign w:val="center"/>
            <w:hideMark/>
          </w:tcPr>
          <w:p w14:paraId="40A5726D" w14:textId="7AFF82CA" w:rsidR="00EE1587" w:rsidRDefault="00EE1587">
            <w:pPr>
              <w:pStyle w:val="NormalWeb"/>
              <w:spacing w:before="0" w:beforeAutospacing="0" w:after="0" w:afterAutospacing="0" w:line="315" w:lineRule="atLeast"/>
              <w:textAlignment w:val="center"/>
              <w:rPr>
                <w:rFonts w:ascii="Open Sans" w:eastAsiaTheme="minorHAnsi" w:hAnsi="Open Sans" w:cs="Open Sans"/>
                <w:color w:val="565656"/>
                <w:position w:val="17"/>
                <w:sz w:val="21"/>
                <w:szCs w:val="21"/>
              </w:rPr>
            </w:pPr>
            <w:r>
              <w:rPr>
                <w:rStyle w:val="Strong"/>
                <w:rFonts w:ascii="Open Sans" w:hAnsi="Open Sans" w:cs="Open Sans"/>
                <w:color w:val="565656"/>
                <w:position w:val="17"/>
                <w:sz w:val="21"/>
                <w:szCs w:val="21"/>
              </w:rPr>
              <w:t>Quality Assurance Advocacy</w:t>
            </w:r>
          </w:p>
          <w:p w14:paraId="262386DB"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As the international education sector continues to be impacted by the pandemic, our priority is to support everyone in the ELT community by providing ongoing advice, information, guidance and innovation. NEAS is dedicated to evolving to meet the everchanging needs of our members and implementing new methods and services to suit our community.</w:t>
            </w:r>
          </w:p>
          <w:p w14:paraId="3BF94F6F"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NEAS Australia continues with our mission to be the global leader in Quality Assurance for the English Language Teaching Community. Recently, NEAS was pleased to provide a response to a consultation paper from the Department of Education Skills, and Employment (DESE)  titled ‘ Foundation Program Standards: Positioning for Quality, Success and Competitiveness'. The current Foundation Program Standards are being recreated and NEAS was able to provide expertise and insights to enhance the quality of the standards to benefit students studying the English language.</w:t>
            </w:r>
          </w:p>
          <w:p w14:paraId="666920ED"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With students at the forefront, the Council of International Students Australia (CISA) recently launched their inaugural Secretariat Pilot Project, appointing HES as the provider of secretariat services to the CISA Executive Committee. NEAS has a longstanding relationship with CISA and was proud to be a financial supporter of this project.</w:t>
            </w:r>
          </w:p>
          <w:p w14:paraId="6A210880" w14:textId="57DB1B04"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Style w:val="Strong"/>
                <w:rFonts w:ascii="Open Sans" w:hAnsi="Open Sans" w:cs="Open Sans"/>
                <w:color w:val="565656"/>
                <w:position w:val="17"/>
                <w:sz w:val="21"/>
                <w:szCs w:val="21"/>
              </w:rPr>
              <w:br/>
              <w:t>NEAS International</w:t>
            </w:r>
          </w:p>
          <w:p w14:paraId="104FFFA1"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NEAS was recently awarded a dedicated grant from the Department of Foreign Affairs and Trade (DFAT), as part of the  Australia-Vietnam Enhanced Economic Engagement Grant (AVEG) Program. The grant supports NEAS in demonstrating Australian expertise in quality assurance, online delivery, and teacher professional development.</w:t>
            </w:r>
          </w:p>
          <w:p w14:paraId="680E70E5" w14:textId="3937D4A0"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In response to this, NEAS </w:t>
            </w:r>
            <w:r w:rsidR="0085684C">
              <w:rPr>
                <w:rFonts w:ascii="Open Sans" w:hAnsi="Open Sans" w:cs="Open Sans"/>
                <w:color w:val="565656"/>
                <w:position w:val="17"/>
                <w:sz w:val="21"/>
                <w:szCs w:val="21"/>
              </w:rPr>
              <w:t xml:space="preserve">was </w:t>
            </w:r>
            <w:r>
              <w:rPr>
                <w:rFonts w:ascii="Open Sans" w:hAnsi="Open Sans" w:cs="Open Sans"/>
                <w:color w:val="565656"/>
                <w:position w:val="17"/>
                <w:sz w:val="21"/>
                <w:szCs w:val="21"/>
              </w:rPr>
              <w:t xml:space="preserve">pleased to announce the launch of the </w:t>
            </w:r>
            <w:hyperlink r:id="rId4" w:history="1">
              <w:r>
                <w:rPr>
                  <w:rStyle w:val="Hyperlink"/>
                  <w:rFonts w:ascii="Open Sans" w:eastAsiaTheme="majorEastAsia" w:hAnsi="Open Sans" w:cs="Open Sans"/>
                  <w:color w:val="4B87C7"/>
                  <w:position w:val="17"/>
                  <w:sz w:val="21"/>
                  <w:szCs w:val="21"/>
                </w:rPr>
                <w:t>NEAS Australia - Vietnam Workshop Series</w:t>
              </w:r>
            </w:hyperlink>
            <w:r>
              <w:rPr>
                <w:rFonts w:ascii="Open Sans" w:hAnsi="Open Sans" w:cs="Open Sans"/>
                <w:color w:val="565656"/>
                <w:position w:val="17"/>
                <w:sz w:val="21"/>
                <w:szCs w:val="21"/>
              </w:rPr>
              <w:t xml:space="preserve">. </w:t>
            </w:r>
            <w:r w:rsidR="0085684C">
              <w:rPr>
                <w:rFonts w:ascii="Open Sans" w:hAnsi="Open Sans" w:cs="Open Sans"/>
                <w:color w:val="565656"/>
                <w:position w:val="17"/>
                <w:sz w:val="21"/>
                <w:szCs w:val="21"/>
              </w:rPr>
              <w:t>This consists of</w:t>
            </w:r>
            <w:r>
              <w:rPr>
                <w:rFonts w:ascii="Open Sans" w:hAnsi="Open Sans" w:cs="Open Sans"/>
                <w:color w:val="565656"/>
                <w:position w:val="17"/>
                <w:sz w:val="21"/>
                <w:szCs w:val="21"/>
              </w:rPr>
              <w:t xml:space="preserve"> two virtual workshops</w:t>
            </w:r>
            <w:r w:rsidR="0085684C">
              <w:rPr>
                <w:rFonts w:ascii="Open Sans" w:hAnsi="Open Sans" w:cs="Open Sans"/>
                <w:color w:val="565656"/>
                <w:position w:val="17"/>
                <w:sz w:val="21"/>
                <w:szCs w:val="21"/>
              </w:rPr>
              <w:t>, the first</w:t>
            </w:r>
            <w:r>
              <w:rPr>
                <w:rFonts w:ascii="Open Sans" w:hAnsi="Open Sans" w:cs="Open Sans"/>
                <w:color w:val="565656"/>
                <w:position w:val="17"/>
                <w:sz w:val="21"/>
                <w:szCs w:val="21"/>
              </w:rPr>
              <w:t xml:space="preserve"> held on 1 October and </w:t>
            </w:r>
            <w:r w:rsidR="0085684C">
              <w:rPr>
                <w:rFonts w:ascii="Open Sans" w:hAnsi="Open Sans" w:cs="Open Sans"/>
                <w:color w:val="565656"/>
                <w:position w:val="17"/>
                <w:sz w:val="21"/>
                <w:szCs w:val="21"/>
              </w:rPr>
              <w:t xml:space="preserve">the second to be held on </w:t>
            </w:r>
            <w:r>
              <w:rPr>
                <w:rFonts w:ascii="Open Sans" w:hAnsi="Open Sans" w:cs="Open Sans"/>
                <w:color w:val="565656"/>
                <w:position w:val="17"/>
                <w:sz w:val="21"/>
                <w:szCs w:val="21"/>
              </w:rPr>
              <w:t>5 November 2021</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The first workshop in the series was a huge success with over 120 people attending and positive feedback from participants</w:t>
            </w:r>
            <w:r w:rsidR="0085684C">
              <w:rPr>
                <w:rFonts w:ascii="Open Sans" w:hAnsi="Open Sans" w:cs="Open Sans"/>
                <w:color w:val="565656"/>
                <w:position w:val="17"/>
                <w:sz w:val="21"/>
                <w:szCs w:val="21"/>
              </w:rPr>
              <w:t xml:space="preserve">. NEAS Australia is proud to </w:t>
            </w:r>
            <w:r>
              <w:rPr>
                <w:rFonts w:ascii="Open Sans" w:hAnsi="Open Sans" w:cs="Open Sans"/>
                <w:color w:val="565656"/>
                <w:position w:val="17"/>
                <w:sz w:val="21"/>
                <w:szCs w:val="21"/>
              </w:rPr>
              <w:t>highlight the exciting teaching and learning innovations and quality assurance activities of 14 English Language Centres who are either operating in Vietnam or interested in partnering with Vietnamese organisations. In addition</w:t>
            </w:r>
            <w:r w:rsidR="0085684C">
              <w:rPr>
                <w:rFonts w:ascii="Open Sans" w:hAnsi="Open Sans" w:cs="Open Sans"/>
                <w:color w:val="565656"/>
                <w:position w:val="17"/>
                <w:sz w:val="21"/>
                <w:szCs w:val="21"/>
              </w:rPr>
              <w:t xml:space="preserve"> to the Virtual Live Panels on 1 October and 5 November</w:t>
            </w:r>
            <w:r>
              <w:rPr>
                <w:rFonts w:ascii="Open Sans" w:hAnsi="Open Sans" w:cs="Open Sans"/>
                <w:color w:val="565656"/>
                <w:position w:val="17"/>
                <w:sz w:val="21"/>
                <w:szCs w:val="21"/>
              </w:rPr>
              <w:t xml:space="preserve">, 15 pre-workshop presentations </w:t>
            </w:r>
            <w:r w:rsidR="0085684C">
              <w:rPr>
                <w:rFonts w:ascii="Open Sans" w:hAnsi="Open Sans" w:cs="Open Sans"/>
                <w:color w:val="565656"/>
                <w:position w:val="17"/>
                <w:sz w:val="21"/>
                <w:szCs w:val="21"/>
              </w:rPr>
              <w:t>have been</w:t>
            </w:r>
            <w:r>
              <w:rPr>
                <w:rFonts w:ascii="Open Sans" w:hAnsi="Open Sans" w:cs="Open Sans"/>
                <w:color w:val="565656"/>
                <w:position w:val="17"/>
                <w:sz w:val="21"/>
                <w:szCs w:val="21"/>
              </w:rPr>
              <w:t xml:space="preserve"> curated on various topics centred around ‘Quality Management of English Language </w:t>
            </w:r>
            <w:r>
              <w:rPr>
                <w:rFonts w:ascii="Open Sans" w:hAnsi="Open Sans" w:cs="Open Sans"/>
                <w:color w:val="565656"/>
                <w:position w:val="17"/>
                <w:sz w:val="21"/>
                <w:szCs w:val="21"/>
              </w:rPr>
              <w:lastRenderedPageBreak/>
              <w:t xml:space="preserve">Centres’ and ‘Online Delivery and Teacher Professional Development’. Access to everything under this series is free, and I encourage you to peruse the content </w:t>
            </w:r>
            <w:hyperlink r:id="rId5" w:history="1">
              <w:r>
                <w:rPr>
                  <w:rStyle w:val="Hyperlink"/>
                  <w:rFonts w:ascii="Open Sans" w:eastAsiaTheme="majorEastAsia" w:hAnsi="Open Sans" w:cs="Open Sans"/>
                  <w:color w:val="4B87C7"/>
                  <w:position w:val="17"/>
                  <w:sz w:val="21"/>
                  <w:szCs w:val="21"/>
                </w:rPr>
                <w:t>here</w:t>
              </w:r>
            </w:hyperlink>
            <w:r>
              <w:rPr>
                <w:rFonts w:ascii="Open Sans" w:hAnsi="Open Sans" w:cs="Open Sans"/>
                <w:color w:val="565656"/>
                <w:position w:val="17"/>
                <w:sz w:val="21"/>
                <w:szCs w:val="21"/>
              </w:rPr>
              <w:t>.</w:t>
            </w:r>
          </w:p>
          <w:p w14:paraId="0D0DDDE2" w14:textId="37497D30"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Style w:val="Strong"/>
                <w:rFonts w:ascii="Open Sans" w:hAnsi="Open Sans" w:cs="Open Sans"/>
                <w:color w:val="565656"/>
                <w:position w:val="17"/>
                <w:sz w:val="21"/>
                <w:szCs w:val="21"/>
              </w:rPr>
              <w:br/>
              <w:t>NEAS 2022 Conference - Sneak Peak!</w:t>
            </w:r>
          </w:p>
        </w:tc>
      </w:tr>
    </w:tbl>
    <w:p w14:paraId="41D62600" w14:textId="77777777" w:rsidR="00EE1587" w:rsidRDefault="00EE1587" w:rsidP="00EE1587">
      <w:pPr>
        <w:spacing w:line="300" w:lineRule="exact"/>
        <w:rPr>
          <w:rFonts w:ascii="Calibri" w:hAnsi="Calibri" w:cs="Calibri"/>
          <w:sz w:val="30"/>
          <w:szCs w:val="30"/>
        </w:rPr>
      </w:pPr>
      <w:r>
        <w:rPr>
          <w:sz w:val="30"/>
          <w:szCs w:val="30"/>
        </w:rPr>
        <w:lastRenderedPageBreak/>
        <w:t> </w:t>
      </w:r>
    </w:p>
    <w:tbl>
      <w:tblPr>
        <w:tblW w:w="0" w:type="auto"/>
        <w:jc w:val="center"/>
        <w:tblCellMar>
          <w:left w:w="0" w:type="dxa"/>
          <w:right w:w="0" w:type="dxa"/>
        </w:tblCellMar>
        <w:tblLook w:val="04A0" w:firstRow="1" w:lastRow="0" w:firstColumn="1" w:lastColumn="0" w:noHBand="0" w:noVBand="1"/>
      </w:tblPr>
      <w:tblGrid>
        <w:gridCol w:w="9000"/>
      </w:tblGrid>
      <w:tr w:rsidR="00EE1587" w14:paraId="16B9B968" w14:textId="77777777" w:rsidTr="00EE1587">
        <w:trPr>
          <w:jc w:val="center"/>
        </w:trPr>
        <w:tc>
          <w:tcPr>
            <w:tcW w:w="9000" w:type="dxa"/>
            <w:shd w:val="clear" w:color="auto" w:fill="FFFFFF"/>
            <w:vAlign w:val="center"/>
            <w:hideMark/>
          </w:tcPr>
          <w:p w14:paraId="4F7CAA76" w14:textId="22B11E97" w:rsidR="00EE1587" w:rsidRDefault="00EE1587">
            <w:pPr>
              <w:spacing w:line="285" w:lineRule="atLeast"/>
              <w:jc w:val="center"/>
              <w:rPr>
                <w:rFonts w:ascii="Open Sans" w:hAnsi="Open Sans" w:cs="Open Sans"/>
                <w:color w:val="565656"/>
                <w:sz w:val="18"/>
                <w:szCs w:val="18"/>
              </w:rPr>
            </w:pPr>
            <w:r>
              <w:rPr>
                <w:rFonts w:ascii="Open Sans" w:hAnsi="Open Sans" w:cs="Open Sans"/>
                <w:noProof/>
                <w:color w:val="4B87C7"/>
                <w:sz w:val="18"/>
                <w:szCs w:val="18"/>
              </w:rPr>
              <w:drawing>
                <wp:inline distT="0" distB="0" distL="0" distR="0" wp14:anchorId="4D63C81C" wp14:editId="12A36D9F">
                  <wp:extent cx="4051300" cy="1168400"/>
                  <wp:effectExtent l="0" t="0" r="6350" b="0"/>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1168400"/>
                          </a:xfrm>
                          <a:prstGeom prst="rect">
                            <a:avLst/>
                          </a:prstGeom>
                          <a:noFill/>
                          <a:ln>
                            <a:noFill/>
                          </a:ln>
                        </pic:spPr>
                      </pic:pic>
                    </a:graphicData>
                  </a:graphic>
                </wp:inline>
              </w:drawing>
            </w:r>
          </w:p>
          <w:p w14:paraId="7B761153" w14:textId="77777777" w:rsidR="00EE1587" w:rsidRDefault="00EE1587">
            <w:pPr>
              <w:pStyle w:val="NormalWeb"/>
              <w:spacing w:before="0" w:beforeAutospacing="0" w:after="0" w:afterAutospacing="0" w:line="315" w:lineRule="atLeast"/>
              <w:textAlignment w:val="center"/>
              <w:rPr>
                <w:rFonts w:ascii="Open Sans" w:hAnsi="Open Sans" w:cs="Open Sans"/>
                <w:color w:val="565656"/>
                <w:position w:val="17"/>
                <w:sz w:val="21"/>
                <w:szCs w:val="21"/>
              </w:rPr>
            </w:pPr>
          </w:p>
          <w:p w14:paraId="14387FD7" w14:textId="26F46C0A" w:rsidR="00EE1587" w:rsidRPr="0085684C" w:rsidRDefault="00EE1587">
            <w:pPr>
              <w:pStyle w:val="NormalWeb"/>
              <w:spacing w:before="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I am excited to announce that the theme for the 2022 NEAS Management Conference is 'Going </w:t>
            </w:r>
            <w:proofErr w:type="spellStart"/>
            <w:r>
              <w:rPr>
                <w:rFonts w:ascii="Open Sans" w:hAnsi="Open Sans" w:cs="Open Sans"/>
                <w:color w:val="565656"/>
                <w:position w:val="17"/>
                <w:sz w:val="21"/>
                <w:szCs w:val="21"/>
              </w:rPr>
              <w:t>Glocal</w:t>
            </w:r>
            <w:proofErr w:type="spellEnd"/>
            <w:r>
              <w:rPr>
                <w:rFonts w:ascii="Open Sans" w:hAnsi="Open Sans" w:cs="Open Sans"/>
                <w:color w:val="565656"/>
                <w:position w:val="17"/>
                <w:sz w:val="21"/>
                <w:szCs w:val="21"/>
              </w:rPr>
              <w:t xml:space="preserve">: Embracing ELT Communities of Practice'. The two day event (5-6 May 2022) will be held at </w:t>
            </w:r>
            <w:proofErr w:type="spellStart"/>
            <w:r>
              <w:rPr>
                <w:rFonts w:ascii="Open Sans" w:hAnsi="Open Sans" w:cs="Open Sans"/>
                <w:color w:val="565656"/>
                <w:position w:val="17"/>
                <w:sz w:val="21"/>
                <w:szCs w:val="21"/>
              </w:rPr>
              <w:t>Doltone</w:t>
            </w:r>
            <w:proofErr w:type="spellEnd"/>
            <w:r>
              <w:rPr>
                <w:rFonts w:ascii="Open Sans" w:hAnsi="Open Sans" w:cs="Open Sans"/>
                <w:color w:val="565656"/>
                <w:position w:val="17"/>
                <w:sz w:val="21"/>
                <w:szCs w:val="21"/>
              </w:rPr>
              <w:t xml:space="preserve"> House, Darling Island, Sydney and also livestreamed as it was this year. Please save the date! The opening plenary presentation will be delivered by Mr Stan Grant, followed by an array of local and international speakers covering the topics of </w:t>
            </w:r>
            <w:proofErr w:type="spellStart"/>
            <w:r>
              <w:rPr>
                <w:rFonts w:ascii="Open Sans" w:hAnsi="Open Sans" w:cs="Open Sans"/>
                <w:color w:val="565656"/>
                <w:position w:val="17"/>
                <w:sz w:val="21"/>
                <w:szCs w:val="21"/>
              </w:rPr>
              <w:t>Glocalisation</w:t>
            </w:r>
            <w:proofErr w:type="spellEnd"/>
            <w:r>
              <w:rPr>
                <w:rFonts w:ascii="Open Sans" w:hAnsi="Open Sans" w:cs="Open Sans"/>
                <w:color w:val="565656"/>
                <w:position w:val="17"/>
                <w:sz w:val="21"/>
                <w:szCs w:val="21"/>
              </w:rPr>
              <w:t xml:space="preserve"> and embracing the six </w:t>
            </w:r>
            <w:hyperlink r:id="rId8" w:history="1">
              <w:r>
                <w:rPr>
                  <w:rStyle w:val="Hyperlink"/>
                  <w:rFonts w:ascii="Open Sans" w:eastAsiaTheme="majorEastAsia" w:hAnsi="Open Sans" w:cs="Open Sans"/>
                  <w:color w:val="4B87C7"/>
                  <w:position w:val="17"/>
                  <w:sz w:val="21"/>
                  <w:szCs w:val="21"/>
                </w:rPr>
                <w:t>NEAS ELT Communities of Practice</w:t>
              </w:r>
            </w:hyperlink>
            <w:r>
              <w:rPr>
                <w:rFonts w:ascii="Open Sans" w:hAnsi="Open Sans" w:cs="Open Sans"/>
                <w:color w:val="565656"/>
                <w:position w:val="17"/>
                <w:sz w:val="21"/>
                <w:szCs w:val="21"/>
              </w:rPr>
              <w:t xml:space="preserve">. Keep your eyes </w:t>
            </w:r>
            <w:r w:rsidR="001E228F">
              <w:rPr>
                <w:rFonts w:ascii="Open Sans" w:hAnsi="Open Sans" w:cs="Open Sans"/>
                <w:color w:val="565656"/>
                <w:position w:val="17"/>
                <w:sz w:val="21"/>
                <w:szCs w:val="21"/>
              </w:rPr>
              <w:t>peeled</w:t>
            </w:r>
            <w:r>
              <w:rPr>
                <w:rFonts w:ascii="Open Sans" w:hAnsi="Open Sans" w:cs="Open Sans"/>
                <w:color w:val="565656"/>
                <w:position w:val="17"/>
                <w:sz w:val="21"/>
                <w:szCs w:val="21"/>
              </w:rPr>
              <w:t> for further conference announcements, including more information about the theme and program in NEAS News during October.</w:t>
            </w:r>
            <w:r w:rsidR="0085684C">
              <w:rPr>
                <w:rFonts w:ascii="Open Sans" w:hAnsi="Open Sans" w:cs="Open Sans"/>
                <w:color w:val="565656"/>
                <w:position w:val="17"/>
                <w:sz w:val="21"/>
                <w:szCs w:val="21"/>
              </w:rPr>
              <w:t xml:space="preserve"> </w:t>
            </w:r>
            <w:r w:rsidRPr="0085684C">
              <w:rPr>
                <w:rFonts w:ascii="Open Sans" w:hAnsi="Open Sans" w:cs="Open Sans"/>
                <w:color w:val="565656"/>
                <w:position w:val="17"/>
                <w:sz w:val="21"/>
                <w:szCs w:val="21"/>
              </w:rPr>
              <w:t>The official conference announcement will be sent out on 7 October, including a call for speaker abstracts.</w:t>
            </w:r>
          </w:p>
          <w:p w14:paraId="46A789DB" w14:textId="19547361"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Style w:val="Strong"/>
                <w:rFonts w:ascii="Open Sans" w:hAnsi="Open Sans" w:cs="Open Sans"/>
                <w:color w:val="565656"/>
                <w:position w:val="17"/>
                <w:sz w:val="21"/>
                <w:szCs w:val="21"/>
              </w:rPr>
              <w:br/>
              <w:t>Setting the Standard(s)</w:t>
            </w:r>
          </w:p>
          <w:p w14:paraId="246071E6"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NEAS has been developing and working on additional sets of areas of standards for the ELT community over the past 12 months. We recently released two new Quality Standard Areas to complement the existing 12 Quality Standard Areas in our Quality Assurance Framework. These are </w:t>
            </w:r>
            <w:hyperlink r:id="rId9" w:history="1">
              <w:r>
                <w:rPr>
                  <w:rStyle w:val="Hyperlink"/>
                  <w:rFonts w:ascii="Open Sans" w:eastAsiaTheme="majorEastAsia" w:hAnsi="Open Sans" w:cs="Open Sans"/>
                  <w:color w:val="4B87C7"/>
                  <w:position w:val="17"/>
                  <w:sz w:val="21"/>
                  <w:szCs w:val="21"/>
                </w:rPr>
                <w:t>Area M: Transnational Delivery</w:t>
              </w:r>
            </w:hyperlink>
            <w:r>
              <w:rPr>
                <w:rFonts w:ascii="Open Sans" w:hAnsi="Open Sans" w:cs="Open Sans"/>
                <w:color w:val="565656"/>
                <w:position w:val="17"/>
                <w:sz w:val="21"/>
                <w:szCs w:val="21"/>
              </w:rPr>
              <w:t xml:space="preserve"> and </w:t>
            </w:r>
            <w:hyperlink r:id="rId10" w:history="1">
              <w:r>
                <w:rPr>
                  <w:rStyle w:val="Hyperlink"/>
                  <w:rFonts w:ascii="Open Sans" w:eastAsiaTheme="majorEastAsia" w:hAnsi="Open Sans" w:cs="Open Sans"/>
                  <w:color w:val="4B87C7"/>
                  <w:position w:val="17"/>
                  <w:sz w:val="21"/>
                  <w:szCs w:val="21"/>
                </w:rPr>
                <w:t>Area N: Foundation Programs</w:t>
              </w:r>
            </w:hyperlink>
            <w:r>
              <w:rPr>
                <w:rFonts w:ascii="Open Sans" w:hAnsi="Open Sans" w:cs="Open Sans"/>
                <w:color w:val="565656"/>
                <w:position w:val="17"/>
                <w:sz w:val="21"/>
                <w:szCs w:val="21"/>
              </w:rPr>
              <w:t>. In a period of challenge and flux, NEAS works closely with our members to set aspirational quality standards for innovative practices and to help them grow their businesses. We are currently finalising operational details to pilot these new Quality Areas.</w:t>
            </w:r>
          </w:p>
          <w:p w14:paraId="22FE4824" w14:textId="0BA84CEF"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Style w:val="Strong"/>
                <w:rFonts w:ascii="Open Sans" w:hAnsi="Open Sans" w:cs="Open Sans"/>
                <w:color w:val="565656"/>
                <w:position w:val="17"/>
                <w:sz w:val="21"/>
                <w:szCs w:val="21"/>
              </w:rPr>
              <w:br/>
              <w:t>Community</w:t>
            </w:r>
          </w:p>
          <w:p w14:paraId="102260C7"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NEAS was thrilled to host its first online agent conference (NEAS-ST </w:t>
            </w:r>
            <w:proofErr w:type="spellStart"/>
            <w:r>
              <w:rPr>
                <w:rFonts w:ascii="Open Sans" w:hAnsi="Open Sans" w:cs="Open Sans"/>
                <w:color w:val="565656"/>
                <w:position w:val="17"/>
                <w:sz w:val="21"/>
                <w:szCs w:val="21"/>
              </w:rPr>
              <w:t>Alphito</w:t>
            </w:r>
            <w:proofErr w:type="spellEnd"/>
            <w:r>
              <w:rPr>
                <w:rFonts w:ascii="Open Sans" w:hAnsi="Open Sans" w:cs="Open Sans"/>
                <w:color w:val="565656"/>
                <w:position w:val="17"/>
                <w:sz w:val="21"/>
                <w:szCs w:val="21"/>
              </w:rPr>
              <w:t>) on 15 July, in partnership with StudyTravel. Seven participating NEAS Member Centres engaged with decision makers from 24 education agents hailing from around the world, including Asia and the Pacific, Europe, Central Asia, and the Americas. </w:t>
            </w:r>
          </w:p>
          <w:p w14:paraId="11E761A7"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Since expanding our </w:t>
            </w:r>
            <w:hyperlink r:id="rId11" w:history="1">
              <w:r>
                <w:rPr>
                  <w:rStyle w:val="Hyperlink"/>
                  <w:rFonts w:ascii="Open Sans" w:eastAsiaTheme="majorEastAsia" w:hAnsi="Open Sans" w:cs="Open Sans"/>
                  <w:color w:val="4B87C7"/>
                  <w:position w:val="17"/>
                  <w:sz w:val="21"/>
                  <w:szCs w:val="21"/>
                </w:rPr>
                <w:t>quality assurance services</w:t>
              </w:r>
            </w:hyperlink>
            <w:r>
              <w:rPr>
                <w:rFonts w:ascii="Open Sans" w:hAnsi="Open Sans" w:cs="Open Sans"/>
                <w:color w:val="565656"/>
                <w:position w:val="17"/>
                <w:sz w:val="21"/>
                <w:szCs w:val="21"/>
              </w:rPr>
              <w:t> to include new areas and community endorsements, NEAS now supports more than 400 individuals and organisations across the sector. The number of listings continues to grow, demonstrating the sector’s commitment to quality assurance, so well done!</w:t>
            </w:r>
          </w:p>
          <w:p w14:paraId="7499EF59" w14:textId="529C368E"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We have also refreshed the NEAS Online portal, introducing various ‘tracks’ for ELT professionals to take to meet all their professional development needs.  With over 80 pieces of content including webinars, masterclasses and workshops – there is something for everyone! Check them out </w:t>
            </w:r>
            <w:hyperlink r:id="rId12" w:history="1">
              <w:r>
                <w:rPr>
                  <w:rStyle w:val="Hyperlink"/>
                  <w:rFonts w:ascii="Open Sans" w:eastAsiaTheme="majorEastAsia" w:hAnsi="Open Sans" w:cs="Open Sans"/>
                  <w:color w:val="4B87C7"/>
                  <w:position w:val="17"/>
                  <w:sz w:val="21"/>
                  <w:szCs w:val="21"/>
                </w:rPr>
                <w:t>here.</w:t>
              </w:r>
            </w:hyperlink>
            <w:r>
              <w:rPr>
                <w:rFonts w:ascii="Open Sans" w:hAnsi="Open Sans" w:cs="Open Sans"/>
                <w:color w:val="565656"/>
                <w:position w:val="17"/>
                <w:sz w:val="21"/>
                <w:szCs w:val="21"/>
              </w:rPr>
              <w:br/>
            </w:r>
          </w:p>
          <w:p w14:paraId="50802590" w14:textId="77777777" w:rsidR="00EE1587" w:rsidRDefault="00EE1587">
            <w:pPr>
              <w:pStyle w:val="NormalWeb"/>
              <w:spacing w:before="300" w:beforeAutospacing="0" w:after="0" w:afterAutospacing="0" w:line="315" w:lineRule="atLeast"/>
              <w:textAlignment w:val="center"/>
              <w:rPr>
                <w:rFonts w:ascii="Open Sans" w:hAnsi="Open Sans" w:cs="Open Sans"/>
                <w:color w:val="565656"/>
                <w:position w:val="17"/>
                <w:sz w:val="21"/>
                <w:szCs w:val="21"/>
              </w:rPr>
            </w:pPr>
            <w:r>
              <w:rPr>
                <w:rStyle w:val="Strong"/>
                <w:rFonts w:ascii="Open Sans" w:hAnsi="Open Sans" w:cs="Open Sans"/>
                <w:color w:val="565656"/>
                <w:position w:val="17"/>
                <w:sz w:val="21"/>
                <w:szCs w:val="21"/>
              </w:rPr>
              <w:t>NEAS Annual General Meeting 2022</w:t>
            </w:r>
          </w:p>
          <w:p w14:paraId="5E986078" w14:textId="7DC1A068" w:rsidR="00EE1587" w:rsidRPr="0085684C" w:rsidRDefault="00EE1587" w:rsidP="0085684C">
            <w:pPr>
              <w:pStyle w:val="NormalWeb"/>
              <w:spacing w:before="300" w:line="315" w:lineRule="atLeast"/>
              <w:textAlignment w:val="center"/>
              <w:rPr>
                <w:rFonts w:ascii="Open Sans" w:hAnsi="Open Sans" w:cs="Open Sans"/>
                <w:color w:val="565656"/>
                <w:position w:val="17"/>
                <w:sz w:val="21"/>
                <w:szCs w:val="21"/>
              </w:rPr>
            </w:pPr>
            <w:r>
              <w:rPr>
                <w:rFonts w:ascii="Open Sans" w:hAnsi="Open Sans" w:cs="Open Sans"/>
                <w:color w:val="565656"/>
                <w:position w:val="17"/>
                <w:sz w:val="21"/>
                <w:szCs w:val="21"/>
              </w:rPr>
              <w:t xml:space="preserve">Please save the date for the NEAS Australia AGM, which will be held via a virtual meeting on Thursday 11 November from 2.00-3.00pm. Further communications regarding the AGM will be issued to members in due </w:t>
            </w:r>
            <w:r w:rsidRPr="0085684C">
              <w:rPr>
                <w:rFonts w:ascii="Open Sans" w:hAnsi="Open Sans" w:cs="Open Sans"/>
                <w:color w:val="565656"/>
                <w:position w:val="17"/>
                <w:sz w:val="21"/>
                <w:szCs w:val="21"/>
              </w:rPr>
              <w:t>course.</w:t>
            </w:r>
            <w:r w:rsidR="0085684C" w:rsidRPr="0085684C">
              <w:rPr>
                <w:rFonts w:ascii="Open Sans" w:hAnsi="Open Sans" w:cs="Open Sans"/>
                <w:color w:val="565656"/>
                <w:position w:val="17"/>
                <w:sz w:val="21"/>
                <w:szCs w:val="21"/>
              </w:rPr>
              <w:t xml:space="preserve"> </w:t>
            </w:r>
            <w:r w:rsidR="001E228F" w:rsidRPr="0085684C">
              <w:rPr>
                <w:rFonts w:ascii="Open Sans" w:hAnsi="Open Sans" w:cs="Open Sans"/>
                <w:color w:val="565656"/>
                <w:position w:val="17"/>
                <w:sz w:val="21"/>
                <w:szCs w:val="21"/>
              </w:rPr>
              <w:t>The notice of AGM will be sent to members on Monday 11 October, including a link to vote in Board member election.</w:t>
            </w:r>
            <w:r w:rsidR="0085684C">
              <w:rPr>
                <w:rFonts w:ascii="Open Sans" w:hAnsi="Open Sans" w:cs="Open Sans"/>
                <w:color w:val="565656"/>
                <w:position w:val="17"/>
                <w:sz w:val="21"/>
                <w:szCs w:val="21"/>
              </w:rPr>
              <w:t xml:space="preserve"> Thank you to the candidate who have  nominated for election for the three positions </w:t>
            </w:r>
            <w:r w:rsidR="0085684C" w:rsidRPr="0085684C">
              <w:rPr>
                <w:rFonts w:ascii="Open Sans" w:hAnsi="Open Sans" w:cs="Open Sans"/>
                <w:color w:val="565656"/>
                <w:position w:val="17"/>
                <w:sz w:val="21"/>
                <w:szCs w:val="21"/>
              </w:rPr>
              <w:t>Katherine Olston</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(Nominated for re-election)</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David Yoo</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(Nominated for re-election)</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David Ferguson</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Dr Pamela Humphreys</w:t>
            </w:r>
            <w:r w:rsidR="0085684C">
              <w:rPr>
                <w:rFonts w:ascii="Open Sans" w:hAnsi="Open Sans" w:cs="Open Sans"/>
                <w:color w:val="565656"/>
                <w:position w:val="17"/>
                <w:sz w:val="21"/>
                <w:szCs w:val="21"/>
              </w:rPr>
              <w:t xml:space="preserve">, </w:t>
            </w:r>
            <w:r w:rsidR="0085684C" w:rsidRPr="0085684C">
              <w:rPr>
                <w:rFonts w:ascii="Open Sans" w:hAnsi="Open Sans" w:cs="Open Sans"/>
                <w:color w:val="565656"/>
                <w:position w:val="17"/>
                <w:sz w:val="21"/>
                <w:szCs w:val="21"/>
              </w:rPr>
              <w:t>Svetlana Lukovic</w:t>
            </w:r>
            <w:r w:rsidR="0085684C">
              <w:rPr>
                <w:rFonts w:ascii="Open Sans" w:hAnsi="Open Sans" w:cs="Open Sans"/>
                <w:color w:val="565656"/>
                <w:position w:val="17"/>
                <w:sz w:val="21"/>
                <w:szCs w:val="21"/>
              </w:rPr>
              <w:t xml:space="preserve"> and </w:t>
            </w:r>
            <w:r w:rsidR="0085684C" w:rsidRPr="0085684C">
              <w:rPr>
                <w:rFonts w:ascii="Open Sans" w:hAnsi="Open Sans" w:cs="Open Sans"/>
                <w:color w:val="565656"/>
                <w:position w:val="17"/>
                <w:sz w:val="21"/>
                <w:szCs w:val="21"/>
              </w:rPr>
              <w:t>Prof. Thomas Roche</w:t>
            </w:r>
            <w:r w:rsidR="0085684C">
              <w:rPr>
                <w:rFonts w:ascii="Open Sans" w:hAnsi="Open Sans" w:cs="Open Sans"/>
                <w:color w:val="565656"/>
                <w:position w:val="17"/>
                <w:sz w:val="21"/>
                <w:szCs w:val="21"/>
              </w:rPr>
              <w:t>. I encourage all members to make their vote after elections open on 11 October 2022.</w:t>
            </w:r>
          </w:p>
        </w:tc>
      </w:tr>
    </w:tbl>
    <w:p w14:paraId="359213B8" w14:textId="57A201B2" w:rsidR="00636F86" w:rsidRPr="00EE1587" w:rsidRDefault="00636F86" w:rsidP="00EE1587">
      <w:pPr>
        <w:spacing w:after="160"/>
        <w:rPr>
          <w:rFonts w:ascii="Arial" w:hAnsi="Arial" w:cs="Arial"/>
          <w:position w:val="17"/>
          <w:sz w:val="20"/>
          <w:szCs w:val="20"/>
          <w:lang w:eastAsia="en-AU"/>
        </w:rPr>
      </w:pPr>
    </w:p>
    <w:sectPr w:rsidR="00636F86" w:rsidRPr="00EE1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87"/>
    <w:rsid w:val="000A2C18"/>
    <w:rsid w:val="001E228F"/>
    <w:rsid w:val="00636F86"/>
    <w:rsid w:val="0085684C"/>
    <w:rsid w:val="00CA59E7"/>
    <w:rsid w:val="00EE15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B8F9"/>
  <w15:chartTrackingRefBased/>
  <w15:docId w15:val="{51C220E0-B600-4ABD-BA4C-7FEAB8FF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8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EE1587"/>
    <w:pPr>
      <w:keepNext/>
      <w:keepLines/>
      <w:widowControl w:val="0"/>
      <w:spacing w:before="240" w:after="240"/>
      <w:outlineLvl w:val="0"/>
    </w:pPr>
    <w:rPr>
      <w:rFonts w:ascii="Arial Bold" w:eastAsiaTheme="majorEastAsia" w:hAnsi="Arial Bold" w:cs="Arial"/>
      <w:b/>
      <w:bCs/>
      <w:sz w:val="32"/>
    </w:rPr>
  </w:style>
  <w:style w:type="paragraph" w:styleId="Heading3">
    <w:name w:val="heading 3"/>
    <w:basedOn w:val="Normal"/>
    <w:next w:val="Normal"/>
    <w:link w:val="Heading3Char"/>
    <w:uiPriority w:val="9"/>
    <w:semiHidden/>
    <w:unhideWhenUsed/>
    <w:qFormat/>
    <w:rsid w:val="00EE15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587"/>
    <w:rPr>
      <w:rFonts w:ascii="Arial Bold" w:eastAsiaTheme="majorEastAsia" w:hAnsi="Arial Bold" w:cs="Arial"/>
      <w:b/>
      <w:bCs/>
      <w:sz w:val="32"/>
      <w:szCs w:val="24"/>
      <w:lang w:bidi="ar-SA"/>
    </w:rPr>
  </w:style>
  <w:style w:type="character" w:styleId="Hyperlink">
    <w:name w:val="Hyperlink"/>
    <w:basedOn w:val="DefaultParagraphFont"/>
    <w:uiPriority w:val="99"/>
    <w:unhideWhenUsed/>
    <w:rsid w:val="00EE1587"/>
    <w:rPr>
      <w:color w:val="0563C1" w:themeColor="hyperlink"/>
      <w:u w:val="single"/>
    </w:rPr>
  </w:style>
  <w:style w:type="paragraph" w:styleId="NormalWeb">
    <w:name w:val="Normal (Web)"/>
    <w:basedOn w:val="Normal"/>
    <w:uiPriority w:val="99"/>
    <w:rsid w:val="00EE1587"/>
    <w:pPr>
      <w:spacing w:before="100" w:beforeAutospacing="1" w:after="100" w:afterAutospacing="1"/>
    </w:pPr>
    <w:rPr>
      <w:lang w:eastAsia="en-AU"/>
    </w:rPr>
  </w:style>
  <w:style w:type="character" w:styleId="Strong">
    <w:name w:val="Strong"/>
    <w:basedOn w:val="DefaultParagraphFont"/>
    <w:uiPriority w:val="22"/>
    <w:qFormat/>
    <w:rsid w:val="00EE1587"/>
    <w:rPr>
      <w:rFonts w:ascii="Arial" w:hAnsi="Arial"/>
      <w:b/>
      <w:bCs/>
      <w:sz w:val="20"/>
    </w:rPr>
  </w:style>
  <w:style w:type="character" w:customStyle="1" w:styleId="Heading3Char">
    <w:name w:val="Heading 3 Char"/>
    <w:basedOn w:val="DefaultParagraphFont"/>
    <w:link w:val="Heading3"/>
    <w:uiPriority w:val="9"/>
    <w:semiHidden/>
    <w:rsid w:val="00EE1587"/>
    <w:rPr>
      <w:rFonts w:asciiTheme="majorHAnsi" w:eastAsiaTheme="majorEastAsia" w:hAnsiTheme="majorHAnsi" w:cstheme="majorBidi"/>
      <w:color w:val="1F3763"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768482">
      <w:bodyDiv w:val="1"/>
      <w:marLeft w:val="0"/>
      <w:marRight w:val="0"/>
      <w:marTop w:val="0"/>
      <w:marBottom w:val="0"/>
      <w:divBdr>
        <w:top w:val="none" w:sz="0" w:space="0" w:color="auto"/>
        <w:left w:val="none" w:sz="0" w:space="0" w:color="auto"/>
        <w:bottom w:val="none" w:sz="0" w:space="0" w:color="auto"/>
        <w:right w:val="none" w:sz="0" w:space="0" w:color="auto"/>
      </w:divBdr>
      <w:divsChild>
        <w:div w:id="1998804133">
          <w:marLeft w:val="240"/>
          <w:marRight w:val="0"/>
          <w:marTop w:val="0"/>
          <w:marBottom w:val="0"/>
          <w:divBdr>
            <w:top w:val="none" w:sz="0" w:space="0" w:color="auto"/>
            <w:left w:val="none" w:sz="0" w:space="0" w:color="auto"/>
            <w:bottom w:val="none" w:sz="0" w:space="0" w:color="auto"/>
            <w:right w:val="none" w:sz="0" w:space="0" w:color="auto"/>
          </w:divBdr>
        </w:div>
        <w:div w:id="1392390406">
          <w:marLeft w:val="240"/>
          <w:marRight w:val="0"/>
          <w:marTop w:val="0"/>
          <w:marBottom w:val="0"/>
          <w:divBdr>
            <w:top w:val="none" w:sz="0" w:space="0" w:color="auto"/>
            <w:left w:val="none" w:sz="0" w:space="0" w:color="auto"/>
            <w:bottom w:val="none" w:sz="0" w:space="0" w:color="auto"/>
            <w:right w:val="none" w:sz="0" w:space="0" w:color="auto"/>
          </w:divBdr>
        </w:div>
        <w:div w:id="1348361772">
          <w:marLeft w:val="240"/>
          <w:marRight w:val="0"/>
          <w:marTop w:val="0"/>
          <w:marBottom w:val="0"/>
          <w:divBdr>
            <w:top w:val="none" w:sz="0" w:space="0" w:color="auto"/>
            <w:left w:val="none" w:sz="0" w:space="0" w:color="auto"/>
            <w:bottom w:val="none" w:sz="0" w:space="0" w:color="auto"/>
            <w:right w:val="none" w:sz="0" w:space="0" w:color="auto"/>
          </w:divBdr>
        </w:div>
        <w:div w:id="1455058361">
          <w:marLeft w:val="240"/>
          <w:marRight w:val="0"/>
          <w:marTop w:val="0"/>
          <w:marBottom w:val="0"/>
          <w:divBdr>
            <w:top w:val="none" w:sz="0" w:space="0" w:color="auto"/>
            <w:left w:val="none" w:sz="0" w:space="0" w:color="auto"/>
            <w:bottom w:val="none" w:sz="0" w:space="0" w:color="auto"/>
            <w:right w:val="none" w:sz="0" w:space="0" w:color="auto"/>
          </w:divBdr>
        </w:div>
        <w:div w:id="192034589">
          <w:marLeft w:val="240"/>
          <w:marRight w:val="0"/>
          <w:marTop w:val="0"/>
          <w:marBottom w:val="0"/>
          <w:divBdr>
            <w:top w:val="none" w:sz="0" w:space="0" w:color="auto"/>
            <w:left w:val="none" w:sz="0" w:space="0" w:color="auto"/>
            <w:bottom w:val="none" w:sz="0" w:space="0" w:color="auto"/>
            <w:right w:val="none" w:sz="0" w:space="0" w:color="auto"/>
          </w:divBdr>
        </w:div>
      </w:divsChild>
    </w:div>
    <w:div w:id="19919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saustralia.cmail20.com/t/d-l-aphhx-jdtiddtdij-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neasaustralia.cmail20.com/t/d-l-aphhx-jdtiddtdij-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asaustralia.cmail20.com/t/d-l-aphhx-jdtiddtdij-t/" TargetMode="External"/><Relationship Id="rId11" Type="http://schemas.openxmlformats.org/officeDocument/2006/relationships/hyperlink" Target="https://neasaustralia.cmail20.com/t/d-l-aphhx-jdtiddtdij-k/" TargetMode="External"/><Relationship Id="rId5" Type="http://schemas.openxmlformats.org/officeDocument/2006/relationships/hyperlink" Target="https://neasaustralia.cmail20.com/t/d-l-aphhx-jdtiddtdij-j/" TargetMode="External"/><Relationship Id="rId10" Type="http://schemas.openxmlformats.org/officeDocument/2006/relationships/hyperlink" Target="https://neasaustralia.cmail20.com/t/d-l-aphhx-jdtiddtdij-h/" TargetMode="External"/><Relationship Id="rId4" Type="http://schemas.openxmlformats.org/officeDocument/2006/relationships/hyperlink" Target="https://neasaustralia.cmail20.com/t/d-l-aphhx-jdtiddtdij-y/" TargetMode="External"/><Relationship Id="rId9" Type="http://schemas.openxmlformats.org/officeDocument/2006/relationships/hyperlink" Target="https://neasaustralia.cmail20.com/t/d-l-aphhx-jdtiddtdij-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ronan</dc:creator>
  <cp:keywords/>
  <dc:description/>
  <cp:lastModifiedBy>Patrick Pheasant</cp:lastModifiedBy>
  <cp:revision>4</cp:revision>
  <dcterms:created xsi:type="dcterms:W3CDTF">2021-10-05T01:51:00Z</dcterms:created>
  <dcterms:modified xsi:type="dcterms:W3CDTF">2021-10-05T08:07:00Z</dcterms:modified>
</cp:coreProperties>
</file>