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ED05" w14:textId="314C2B32" w:rsidR="006048FE" w:rsidRPr="00E9396C" w:rsidRDefault="006048FE" w:rsidP="006048FE">
      <w:pPr>
        <w:pStyle w:val="Heading1"/>
      </w:pPr>
      <w:r w:rsidRPr="00E9396C">
        <w:t xml:space="preserve">AGENDA ITEM </w:t>
      </w:r>
      <w:r>
        <w:t>#2</w:t>
      </w:r>
      <w:r w:rsidRPr="00E9396C">
        <w:t xml:space="preserve">: </w:t>
      </w:r>
      <w:r w:rsidRPr="006048FE">
        <w:t>Overview of Strategic Items for Discussion</w:t>
      </w:r>
    </w:p>
    <w:p w14:paraId="1B381495" w14:textId="1E0ACCA5" w:rsidR="000A0371" w:rsidRDefault="006048FE">
      <w:r>
        <w:t>This document serves as an orientation and Executive Summary for the Board Strategic Discussion Papers for this morning</w:t>
      </w:r>
      <w:r w:rsidR="00744FEC">
        <w:t xml:space="preserve"> and includes a table to focus discussion and board decision making</w:t>
      </w:r>
      <w:r>
        <w:t>.</w:t>
      </w:r>
      <w:r w:rsidR="009E3AE8">
        <w:t xml:space="preserve"> It is recommended that Board Members use this document for their notes and questions as they read through the four Board Papers in preparation for the board meeting. This table will then be used to focus the discussion as we move through this morning’s agenda items.</w:t>
      </w:r>
    </w:p>
    <w:p w14:paraId="1F92A334" w14:textId="098338C7" w:rsidR="006048FE" w:rsidRPr="00733672" w:rsidRDefault="009E3AE8">
      <w:pPr>
        <w:rPr>
          <w:b/>
          <w:bCs/>
        </w:rPr>
      </w:pPr>
      <w:r>
        <w:rPr>
          <w:b/>
          <w:bCs/>
        </w:rPr>
        <w:t xml:space="preserve">CEO’S </w:t>
      </w:r>
      <w:r w:rsidR="006048FE" w:rsidRPr="00733672">
        <w:rPr>
          <w:b/>
          <w:bCs/>
        </w:rPr>
        <w:t>PROCESS</w:t>
      </w:r>
      <w:r>
        <w:rPr>
          <w:b/>
          <w:bCs/>
        </w:rPr>
        <w:t xml:space="preserve"> FOR PREPARING THESE FOUR DISCUSSION PAPERS</w:t>
      </w:r>
    </w:p>
    <w:p w14:paraId="2DBD6ABB" w14:textId="0E75DA77" w:rsidR="006048FE" w:rsidRDefault="006048FE" w:rsidP="00733672">
      <w:pPr>
        <w:pStyle w:val="ListParagraph"/>
        <w:numPr>
          <w:ilvl w:val="0"/>
          <w:numId w:val="2"/>
        </w:numPr>
      </w:pPr>
      <w:r>
        <w:t xml:space="preserve">The five CEO KPIs in Item 22a of these Board Papers </w:t>
      </w:r>
      <w:r w:rsidR="00744FEC">
        <w:t>were</w:t>
      </w:r>
      <w:r>
        <w:t xml:space="preserve"> </w:t>
      </w:r>
      <w:r w:rsidR="009E3AE8">
        <w:t>confirmed</w:t>
      </w:r>
      <w:r>
        <w:t xml:space="preserve"> to the CEO as a result of the CEO Performance Review and serve as a reference point for the development of the strategic papers to be discussed</w:t>
      </w:r>
      <w:r w:rsidR="00744FEC">
        <w:t xml:space="preserve">. </w:t>
      </w:r>
      <w:r w:rsidR="009E3AE8">
        <w:t>As a reminder t</w:t>
      </w:r>
      <w:r w:rsidR="00744FEC">
        <w:t>hese five KPI</w:t>
      </w:r>
      <w:r w:rsidR="0007466F">
        <w:t>s</w:t>
      </w:r>
      <w:r w:rsidR="00744FEC">
        <w:t xml:space="preserve"> are</w:t>
      </w:r>
      <w:r>
        <w:t>:</w:t>
      </w:r>
    </w:p>
    <w:p w14:paraId="5DF2F283" w14:textId="77777777" w:rsidR="006048FE" w:rsidRPr="00733672" w:rsidRDefault="006048FE" w:rsidP="009E3AE8">
      <w:pPr>
        <w:ind w:left="1440"/>
        <w:rPr>
          <w:b/>
          <w:bCs/>
        </w:rPr>
      </w:pPr>
      <w:r w:rsidRPr="00733672">
        <w:rPr>
          <w:b/>
          <w:bCs/>
        </w:rPr>
        <w:t xml:space="preserve">1. Finance: </w:t>
      </w:r>
    </w:p>
    <w:p w14:paraId="4C4E62E2" w14:textId="77777777" w:rsidR="006048FE" w:rsidRDefault="006048FE" w:rsidP="009E3AE8">
      <w:pPr>
        <w:ind w:left="1440"/>
      </w:pPr>
      <w:r>
        <w:t xml:space="preserve">a) The CEO will deliver the operational plan of NEAS in accordance with, or better than, the Board approved NEAS Budget and </w:t>
      </w:r>
    </w:p>
    <w:p w14:paraId="76344307" w14:textId="77777777" w:rsidR="006048FE" w:rsidRDefault="006048FE" w:rsidP="009E3AE8">
      <w:pPr>
        <w:ind w:left="1440"/>
      </w:pPr>
      <w:r>
        <w:t xml:space="preserve">b) The staff salary to total income ratio will be maintained at 50% or less.  </w:t>
      </w:r>
    </w:p>
    <w:p w14:paraId="4DFC55F5" w14:textId="77777777" w:rsidR="006048FE" w:rsidRDefault="006048FE" w:rsidP="009E3AE8">
      <w:pPr>
        <w:ind w:left="1440"/>
      </w:pPr>
      <w:r w:rsidRPr="00733672">
        <w:rPr>
          <w:b/>
          <w:bCs/>
        </w:rPr>
        <w:t>2. Strategy:</w:t>
      </w:r>
      <w:r>
        <w:t xml:space="preserve"> Business cases for the revive activity of the Strategic Plan will be costed and presented to the Board for consideration by the end of 2021. (NEAS Professional, NEAS International and Increased MoU government and industry activity)</w:t>
      </w:r>
    </w:p>
    <w:p w14:paraId="647A7FED" w14:textId="77777777" w:rsidR="006048FE" w:rsidRDefault="006048FE" w:rsidP="009E3AE8">
      <w:pPr>
        <w:ind w:left="1440"/>
      </w:pPr>
      <w:r w:rsidRPr="00733672">
        <w:rPr>
          <w:b/>
          <w:bCs/>
        </w:rPr>
        <w:t>3. Communications:</w:t>
      </w:r>
      <w:r>
        <w:t xml:space="preserve"> An integrated, multi-channel communication strategy for NEAS internal (including members) and external stakeholders will be developed and costed into the 22/23 budget for sign off by the Board by no later than end of Q1 2022.  </w:t>
      </w:r>
    </w:p>
    <w:p w14:paraId="4A8AA4D4" w14:textId="77777777" w:rsidR="006048FE" w:rsidRDefault="006048FE" w:rsidP="009E3AE8">
      <w:pPr>
        <w:ind w:left="1440"/>
      </w:pPr>
      <w:r w:rsidRPr="00733672">
        <w:rPr>
          <w:b/>
          <w:bCs/>
        </w:rPr>
        <w:t>4. Advocacy:</w:t>
      </w:r>
      <w:r>
        <w:t xml:space="preserve"> An advocacy plan for NEAS will be developed (including key advocacy asks, and a summary of tactics to achieve the asks) and costed into the 22/23 budget for sign off by the Board by no later than end of Q1 2022</w:t>
      </w:r>
    </w:p>
    <w:p w14:paraId="04A514E7" w14:textId="77777777" w:rsidR="00733672" w:rsidRDefault="006048FE" w:rsidP="009E3AE8">
      <w:pPr>
        <w:ind w:left="1440"/>
      </w:pPr>
      <w:r w:rsidRPr="00733672">
        <w:rPr>
          <w:b/>
          <w:bCs/>
        </w:rPr>
        <w:t>5. Leadership and Management:</w:t>
      </w:r>
      <w:r>
        <w:t xml:space="preserve"> The Board papers will be presented in a manner that provides the Board with sufficient information to make an informed decision including for example, a discussion of risks, clear and accurate discussion of financial impacts, contribution to achieving the NEAS strategic plan and member benefits associated with activity.  </w:t>
      </w:r>
    </w:p>
    <w:p w14:paraId="176CD347" w14:textId="56D19EE3" w:rsidR="006048FE" w:rsidRDefault="006048FE" w:rsidP="00733672">
      <w:pPr>
        <w:pStyle w:val="ListParagraph"/>
        <w:numPr>
          <w:ilvl w:val="0"/>
          <w:numId w:val="2"/>
        </w:numPr>
      </w:pPr>
      <w:r>
        <w:t>The</w:t>
      </w:r>
      <w:r w:rsidR="00733672">
        <w:t>se</w:t>
      </w:r>
      <w:r>
        <w:t xml:space="preserve"> recommendations have influenced the staging of the CEO KPIs which are presented with SMART milestones for Oct 2021, March 2022 and June 2023</w:t>
      </w:r>
      <w:r w:rsidR="00733672">
        <w:t xml:space="preserve"> </w:t>
      </w:r>
      <w:r w:rsidR="0007466F">
        <w:t xml:space="preserve">and scheduled for board approval </w:t>
      </w:r>
      <w:r w:rsidR="00733672">
        <w:t>in Item 22a this afternoon.</w:t>
      </w:r>
      <w:r w:rsidR="009E3AE8">
        <w:t xml:space="preserve"> It is expected that some of the morning discussion will impact the afternoon agenda items.</w:t>
      </w:r>
    </w:p>
    <w:p w14:paraId="35C0C825" w14:textId="1FA96D90" w:rsidR="00744FEC" w:rsidRDefault="00744FEC" w:rsidP="00744FEC">
      <w:pPr>
        <w:pStyle w:val="ListParagraph"/>
        <w:numPr>
          <w:ilvl w:val="0"/>
          <w:numId w:val="2"/>
        </w:numPr>
      </w:pPr>
      <w:r>
        <w:t>Four key papers have consequently been developed that are to be discussed as part of the strategic discussion this morning:</w:t>
      </w:r>
    </w:p>
    <w:p w14:paraId="3FCB142D" w14:textId="5D7058AE" w:rsidR="00744FEC" w:rsidRDefault="0007466F" w:rsidP="00744FEC">
      <w:pPr>
        <w:pStyle w:val="ListParagraph"/>
        <w:numPr>
          <w:ilvl w:val="1"/>
          <w:numId w:val="2"/>
        </w:numPr>
      </w:pPr>
      <w:r>
        <w:t xml:space="preserve">3 - </w:t>
      </w:r>
      <w:r w:rsidR="00744FEC">
        <w:t xml:space="preserve">Business Case for NEAS </w:t>
      </w:r>
      <w:r w:rsidR="00744FEC" w:rsidRPr="00744FEC">
        <w:rPr>
          <w:b/>
          <w:bCs/>
        </w:rPr>
        <w:t>Professional</w:t>
      </w:r>
    </w:p>
    <w:p w14:paraId="6CD1C8ED" w14:textId="6C4DEEBB" w:rsidR="00744FEC" w:rsidRDefault="0007466F" w:rsidP="00744FEC">
      <w:pPr>
        <w:pStyle w:val="ListParagraph"/>
        <w:numPr>
          <w:ilvl w:val="1"/>
          <w:numId w:val="2"/>
        </w:numPr>
      </w:pPr>
      <w:r>
        <w:t xml:space="preserve">4 - </w:t>
      </w:r>
      <w:r w:rsidR="00744FEC">
        <w:t xml:space="preserve">Business Case for NEAS </w:t>
      </w:r>
      <w:r w:rsidR="00744FEC" w:rsidRPr="00744FEC">
        <w:rPr>
          <w:b/>
          <w:bCs/>
        </w:rPr>
        <w:t>International</w:t>
      </w:r>
    </w:p>
    <w:p w14:paraId="47163059" w14:textId="68068F72" w:rsidR="00744FEC" w:rsidRDefault="0007466F" w:rsidP="00744FEC">
      <w:pPr>
        <w:pStyle w:val="ListParagraph"/>
        <w:numPr>
          <w:ilvl w:val="1"/>
          <w:numId w:val="2"/>
        </w:numPr>
      </w:pPr>
      <w:r>
        <w:t xml:space="preserve">5 - </w:t>
      </w:r>
      <w:r w:rsidR="00744FEC">
        <w:t xml:space="preserve">NEAS </w:t>
      </w:r>
      <w:r w:rsidR="00744FEC" w:rsidRPr="00744FEC">
        <w:rPr>
          <w:b/>
          <w:bCs/>
        </w:rPr>
        <w:t>Advocacy</w:t>
      </w:r>
      <w:r w:rsidR="00744FEC">
        <w:t xml:space="preserve"> Plan 2022</w:t>
      </w:r>
    </w:p>
    <w:p w14:paraId="394990BD" w14:textId="2031796F" w:rsidR="00744FEC" w:rsidRDefault="0007466F" w:rsidP="00744FEC">
      <w:pPr>
        <w:pStyle w:val="ListParagraph"/>
        <w:numPr>
          <w:ilvl w:val="1"/>
          <w:numId w:val="2"/>
        </w:numPr>
      </w:pPr>
      <w:r>
        <w:lastRenderedPageBreak/>
        <w:t xml:space="preserve">6 - </w:t>
      </w:r>
      <w:r w:rsidR="00744FEC">
        <w:t xml:space="preserve">NEAS </w:t>
      </w:r>
      <w:r w:rsidR="00744FEC" w:rsidRPr="00744FEC">
        <w:rPr>
          <w:b/>
          <w:bCs/>
        </w:rPr>
        <w:t>Resources</w:t>
      </w:r>
      <w:r w:rsidR="00744FEC">
        <w:t xml:space="preserve"> Review 2022</w:t>
      </w:r>
    </w:p>
    <w:p w14:paraId="7514B06A" w14:textId="0CCE4FA3" w:rsidR="00744FEC" w:rsidRDefault="00744FEC" w:rsidP="00744FEC">
      <w:pPr>
        <w:pStyle w:val="ListParagraph"/>
        <w:numPr>
          <w:ilvl w:val="0"/>
          <w:numId w:val="2"/>
        </w:numPr>
      </w:pPr>
      <w:r>
        <w:t>These papers have background information that inform the key recommendations to the Board presented in this outline. Please note recommendations from each of the papers that don’t require board approval</w:t>
      </w:r>
      <w:r w:rsidR="0007466F">
        <w:t>, are operational in nature</w:t>
      </w:r>
      <w:r>
        <w:t xml:space="preserve"> or that have already been approved by the board are not listed in this table but presented in each separate paper</w:t>
      </w:r>
      <w:r w:rsidR="0007466F">
        <w:t xml:space="preserve"> to provide further context and background.</w:t>
      </w:r>
      <w:r>
        <w:t>.</w:t>
      </w:r>
    </w:p>
    <w:p w14:paraId="710081FC" w14:textId="07908C50" w:rsidR="00733672" w:rsidRDefault="00733672" w:rsidP="00733672">
      <w:pPr>
        <w:pStyle w:val="ListParagraph"/>
        <w:numPr>
          <w:ilvl w:val="0"/>
          <w:numId w:val="2"/>
        </w:numPr>
      </w:pPr>
      <w:r>
        <w:t xml:space="preserve">A table of the key recommendations </w:t>
      </w:r>
      <w:r w:rsidR="00744FEC">
        <w:t xml:space="preserve">requiring board approval </w:t>
      </w:r>
      <w:r>
        <w:t>from the four documents is presented below as an overview.</w:t>
      </w:r>
    </w:p>
    <w:p w14:paraId="4F6395C1" w14:textId="219478B4" w:rsidR="009E3AE8" w:rsidRDefault="009E3AE8" w:rsidP="00733672">
      <w:pPr>
        <w:pStyle w:val="ListParagraph"/>
        <w:numPr>
          <w:ilvl w:val="0"/>
          <w:numId w:val="2"/>
        </w:numPr>
      </w:pPr>
      <w:r>
        <w:t>Each Item has been ranking by priority</w:t>
      </w:r>
      <w:r w:rsidR="002037BE">
        <w:t xml:space="preserve">, </w:t>
      </w:r>
      <w:r>
        <w:t xml:space="preserve">risk </w:t>
      </w:r>
      <w:r w:rsidR="002037BE">
        <w:t xml:space="preserve">and cost </w:t>
      </w:r>
      <w:r>
        <w:t>by the CEO.</w:t>
      </w:r>
    </w:p>
    <w:p w14:paraId="20F5F116" w14:textId="73CBA97F" w:rsidR="009E3AE8" w:rsidRDefault="009E3AE8" w:rsidP="00733672">
      <w:pPr>
        <w:pStyle w:val="ListParagraph"/>
        <w:numPr>
          <w:ilvl w:val="0"/>
          <w:numId w:val="2"/>
        </w:numPr>
      </w:pPr>
      <w:r>
        <w:t xml:space="preserve">A desired outcome from the board discussions this morning is to </w:t>
      </w:r>
      <w:r w:rsidR="004673CF">
        <w:t xml:space="preserve">generate discussion, </w:t>
      </w:r>
      <w:r>
        <w:t xml:space="preserve">gauge confidence / appetite / feedback for each recommendation which will then inform </w:t>
      </w:r>
      <w:r w:rsidR="004673CF">
        <w:t xml:space="preserve">inclusion, </w:t>
      </w:r>
      <w:r>
        <w:t>timing and budget allocation to the four elements of the 2022 strategic activity</w:t>
      </w:r>
      <w:r w:rsidR="0007466F">
        <w:t xml:space="preserve">. This will </w:t>
      </w:r>
      <w:r>
        <w:t>be consolidated and presented for final approval at the 3 February 2022 Board Meeting (new Board members will be inducted on the 20 January 2022). Please note for urgent items that need budget allocation prior to 3 February, these will either need to be approved at this meeting or by circular if more information is required</w:t>
      </w:r>
      <w:r w:rsidR="0007466F">
        <w:t>, and have been noted as such.</w:t>
      </w:r>
    </w:p>
    <w:p w14:paraId="67326CE3" w14:textId="60D92B67" w:rsidR="0007466F" w:rsidRDefault="0007466F" w:rsidP="00733672">
      <w:pPr>
        <w:pStyle w:val="ListParagraph"/>
        <w:numPr>
          <w:ilvl w:val="0"/>
          <w:numId w:val="2"/>
        </w:numPr>
      </w:pPr>
      <w:r>
        <w:t xml:space="preserve">As NEAS ramps up its collection of aged debtors and the sector is pressed from delayed return of international students and recovery, there is a need for balance between protection of the organisation’s investments and perceived public actions from NEAS to support its members and the sector recovery. </w:t>
      </w:r>
    </w:p>
    <w:p w14:paraId="0662EB55" w14:textId="779DC2EC" w:rsidR="00375DF4" w:rsidRPr="00375DF4" w:rsidRDefault="00375DF4" w:rsidP="00733672">
      <w:pPr>
        <w:pStyle w:val="ListParagraph"/>
        <w:numPr>
          <w:ilvl w:val="0"/>
          <w:numId w:val="2"/>
        </w:numPr>
        <w:rPr>
          <w:color w:val="FF0000"/>
        </w:rPr>
      </w:pPr>
      <w:r w:rsidRPr="00375DF4">
        <w:rPr>
          <w:color w:val="FF0000"/>
        </w:rPr>
        <w:t xml:space="preserve">There is a </w:t>
      </w:r>
      <w:r>
        <w:rPr>
          <w:color w:val="FF0000"/>
        </w:rPr>
        <w:t xml:space="preserve">maximum </w:t>
      </w:r>
      <w:r w:rsidRPr="00375DF4">
        <w:rPr>
          <w:color w:val="FF0000"/>
        </w:rPr>
        <w:t xml:space="preserve">total of $88.5K in unbudgeted costs in FY22 to fully activate all recommendations included in this outline. </w:t>
      </w:r>
      <w:r w:rsidR="00001B7C">
        <w:rPr>
          <w:color w:val="FF0000"/>
        </w:rPr>
        <w:t xml:space="preserve">It is recommended that the Board approve inclusion of these costs into a new forecast for FY22 conditional on (a) retaining a forecasted profit for FY22 and (b) retaining a 50% salary to revenue ratio and (c) not accessing the JBWere </w:t>
      </w:r>
      <w:r w:rsidR="001F68ED">
        <w:rPr>
          <w:color w:val="FF0000"/>
        </w:rPr>
        <w:t>Share Portfolio</w:t>
      </w:r>
      <w:r w:rsidR="00001B7C">
        <w:rPr>
          <w:color w:val="FF0000"/>
        </w:rPr>
        <w:t xml:space="preserve">. It is recommended the Board approve the CEO to proceed with activating the recommendations and make due decisions on timing to manage delivery of the new FY22 forecast. </w:t>
      </w:r>
    </w:p>
    <w:p w14:paraId="0E0D57A8" w14:textId="5C7EE243" w:rsidR="009E3AE8" w:rsidRDefault="009E3AE8" w:rsidP="00733672">
      <w:pPr>
        <w:pStyle w:val="ListParagraph"/>
        <w:numPr>
          <w:ilvl w:val="0"/>
          <w:numId w:val="2"/>
        </w:numPr>
      </w:pPr>
      <w:r>
        <w:t>Priority</w:t>
      </w:r>
      <w:r w:rsidR="0007466F">
        <w:t xml:space="preserve">, </w:t>
      </w:r>
      <w:r>
        <w:t xml:space="preserve">Risk </w:t>
      </w:r>
      <w:r w:rsidR="0007466F">
        <w:t>and Cost of each Item has</w:t>
      </w:r>
      <w:r>
        <w:t xml:space="preserve"> been categorised as:</w:t>
      </w:r>
    </w:p>
    <w:tbl>
      <w:tblPr>
        <w:tblStyle w:val="TableGrid"/>
        <w:tblW w:w="0" w:type="auto"/>
        <w:tblInd w:w="-5" w:type="dxa"/>
        <w:tblLook w:val="04A0" w:firstRow="1" w:lastRow="0" w:firstColumn="1" w:lastColumn="0" w:noHBand="0" w:noVBand="1"/>
      </w:tblPr>
      <w:tblGrid>
        <w:gridCol w:w="546"/>
        <w:gridCol w:w="2998"/>
      </w:tblGrid>
      <w:tr w:rsidR="009E3AE8" w14:paraId="22250E61" w14:textId="77777777" w:rsidTr="00624132">
        <w:tc>
          <w:tcPr>
            <w:tcW w:w="546" w:type="dxa"/>
          </w:tcPr>
          <w:p w14:paraId="1619773D" w14:textId="77777777" w:rsidR="009E3AE8" w:rsidRDefault="009E3AE8" w:rsidP="00624132">
            <w:pPr>
              <w:pStyle w:val="p1"/>
              <w:rPr>
                <w:rFonts w:ascii="Arial" w:hAnsi="Arial" w:cs="Arial"/>
                <w:b/>
                <w:bCs/>
                <w:smallCaps/>
                <w:color w:val="auto"/>
                <w:sz w:val="20"/>
                <w:szCs w:val="20"/>
                <w:u w:val="single"/>
              </w:rPr>
            </w:pPr>
            <w:r>
              <w:rPr>
                <w:rFonts w:ascii="Arial" w:hAnsi="Arial" w:cs="Arial"/>
                <w:noProof/>
                <w:color w:val="auto"/>
                <w:sz w:val="20"/>
                <w:szCs w:val="20"/>
              </w:rPr>
              <w:drawing>
                <wp:inline distT="0" distB="0" distL="0" distR="0" wp14:anchorId="32F00B86" wp14:editId="3DF6DA6A">
                  <wp:extent cx="206734" cy="206734"/>
                  <wp:effectExtent l="0" t="0" r="3175" b="3175"/>
                  <wp:docPr id="7" name="Graphic 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2998" w:type="dxa"/>
            <w:vAlign w:val="center"/>
          </w:tcPr>
          <w:p w14:paraId="6A0021FE" w14:textId="306D70B5" w:rsidR="009E3AE8" w:rsidRPr="00136B49" w:rsidRDefault="009E3AE8" w:rsidP="00624132">
            <w:pPr>
              <w:rPr>
                <w:rFonts w:ascii="Arial" w:hAnsi="Arial" w:cs="Arial"/>
                <w:sz w:val="20"/>
                <w:szCs w:val="20"/>
              </w:rPr>
            </w:pPr>
            <w:r>
              <w:rPr>
                <w:rFonts w:ascii="Arial" w:hAnsi="Arial" w:cs="Arial"/>
                <w:sz w:val="20"/>
                <w:szCs w:val="20"/>
              </w:rPr>
              <w:t>High Priority / Risk / Cost</w:t>
            </w:r>
          </w:p>
        </w:tc>
      </w:tr>
      <w:tr w:rsidR="009E3AE8" w14:paraId="6E8F916A" w14:textId="77777777" w:rsidTr="00624132">
        <w:tc>
          <w:tcPr>
            <w:tcW w:w="546" w:type="dxa"/>
          </w:tcPr>
          <w:p w14:paraId="02A55172" w14:textId="77777777" w:rsidR="009E3AE8" w:rsidRDefault="009E3AE8" w:rsidP="00624132">
            <w:pPr>
              <w:pStyle w:val="p1"/>
              <w:rPr>
                <w:rFonts w:ascii="Arial" w:hAnsi="Arial" w:cs="Arial"/>
                <w:b/>
                <w:bCs/>
                <w:smallCaps/>
                <w:color w:val="auto"/>
                <w:sz w:val="20"/>
                <w:szCs w:val="20"/>
                <w:u w:val="single"/>
              </w:rPr>
            </w:pPr>
            <w:r>
              <w:rPr>
                <w:rFonts w:ascii="Arial" w:hAnsi="Arial" w:cs="Arial"/>
                <w:noProof/>
                <w:color w:val="auto"/>
                <w:sz w:val="20"/>
                <w:szCs w:val="20"/>
              </w:rPr>
              <w:drawing>
                <wp:inline distT="0" distB="0" distL="0" distR="0" wp14:anchorId="4225D9F7" wp14:editId="4127C12E">
                  <wp:extent cx="206734" cy="206734"/>
                  <wp:effectExtent l="0" t="0" r="3175" b="3175"/>
                  <wp:docPr id="8" name="Graphic 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2998" w:type="dxa"/>
            <w:vAlign w:val="center"/>
          </w:tcPr>
          <w:p w14:paraId="1B322A5A" w14:textId="5191DBB9" w:rsidR="009E3AE8" w:rsidRPr="00136B49" w:rsidRDefault="009E3AE8" w:rsidP="00624132">
            <w:pPr>
              <w:rPr>
                <w:rFonts w:ascii="Arial" w:hAnsi="Arial" w:cs="Arial"/>
                <w:sz w:val="20"/>
                <w:szCs w:val="20"/>
              </w:rPr>
            </w:pPr>
            <w:r>
              <w:rPr>
                <w:rFonts w:ascii="Arial" w:hAnsi="Arial" w:cs="Arial"/>
                <w:sz w:val="20"/>
                <w:szCs w:val="20"/>
              </w:rPr>
              <w:t>Medium Priority / Risk / Cost</w:t>
            </w:r>
          </w:p>
        </w:tc>
      </w:tr>
      <w:tr w:rsidR="009E3AE8" w14:paraId="58363730" w14:textId="77777777" w:rsidTr="00624132">
        <w:tc>
          <w:tcPr>
            <w:tcW w:w="546" w:type="dxa"/>
          </w:tcPr>
          <w:p w14:paraId="14CA94BC" w14:textId="77777777" w:rsidR="009E3AE8" w:rsidRDefault="009E3AE8" w:rsidP="00624132">
            <w:pPr>
              <w:pStyle w:val="p1"/>
              <w:rPr>
                <w:rFonts w:ascii="Arial" w:hAnsi="Arial" w:cs="Arial"/>
                <w:b/>
                <w:bCs/>
                <w:smallCaps/>
                <w:color w:val="auto"/>
                <w:sz w:val="20"/>
                <w:szCs w:val="20"/>
                <w:u w:val="single"/>
              </w:rPr>
            </w:pPr>
            <w:r>
              <w:rPr>
                <w:rFonts w:ascii="Arial" w:hAnsi="Arial" w:cs="Arial"/>
                <w:noProof/>
                <w:color w:val="auto"/>
                <w:sz w:val="20"/>
                <w:szCs w:val="20"/>
              </w:rPr>
              <w:drawing>
                <wp:inline distT="0" distB="0" distL="0" distR="0" wp14:anchorId="2D2AE37E" wp14:editId="6166342F">
                  <wp:extent cx="206734" cy="206734"/>
                  <wp:effectExtent l="0" t="0" r="3175" b="3175"/>
                  <wp:docPr id="9" name="Graphic 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2998" w:type="dxa"/>
            <w:vAlign w:val="center"/>
          </w:tcPr>
          <w:p w14:paraId="3AB8A246" w14:textId="73608755" w:rsidR="009E3AE8" w:rsidRPr="00136B49" w:rsidRDefault="009E3AE8" w:rsidP="00624132">
            <w:pPr>
              <w:rPr>
                <w:rFonts w:ascii="Arial" w:hAnsi="Arial" w:cs="Arial"/>
                <w:sz w:val="20"/>
                <w:szCs w:val="20"/>
              </w:rPr>
            </w:pPr>
            <w:r>
              <w:rPr>
                <w:rFonts w:ascii="Arial" w:hAnsi="Arial" w:cs="Arial"/>
                <w:sz w:val="20"/>
                <w:szCs w:val="20"/>
              </w:rPr>
              <w:t>Low Priority / Risk / Cost</w:t>
            </w:r>
          </w:p>
        </w:tc>
      </w:tr>
    </w:tbl>
    <w:p w14:paraId="7F34235E" w14:textId="77777777" w:rsidR="009E3AE8" w:rsidRDefault="009E3AE8" w:rsidP="009E3AE8"/>
    <w:p w14:paraId="60823AF7" w14:textId="645E5C07" w:rsidR="00733672" w:rsidRPr="00733672" w:rsidRDefault="00733672" w:rsidP="00733672">
      <w:pPr>
        <w:rPr>
          <w:b/>
          <w:bCs/>
        </w:rPr>
      </w:pPr>
      <w:r w:rsidRPr="00733672">
        <w:rPr>
          <w:b/>
          <w:bCs/>
        </w:rPr>
        <w:t xml:space="preserve">TABLE OF KEY RECOMMENDATIONS </w:t>
      </w:r>
      <w:r w:rsidR="008F2F6D">
        <w:rPr>
          <w:b/>
          <w:bCs/>
        </w:rPr>
        <w:t xml:space="preserve">REQUIRING BOARD APPROVAL </w:t>
      </w:r>
      <w:r w:rsidRPr="00733672">
        <w:rPr>
          <w:b/>
          <w:bCs/>
        </w:rPr>
        <w:t xml:space="preserve">FROM THE FOUR </w:t>
      </w:r>
      <w:r w:rsidR="008F2F6D">
        <w:rPr>
          <w:b/>
          <w:bCs/>
        </w:rPr>
        <w:t xml:space="preserve">STRATEGIC </w:t>
      </w:r>
      <w:r w:rsidRPr="00733672">
        <w:rPr>
          <w:b/>
          <w:bCs/>
        </w:rPr>
        <w:t xml:space="preserve"> PAPERS</w:t>
      </w:r>
    </w:p>
    <w:tbl>
      <w:tblPr>
        <w:tblStyle w:val="TableGrid"/>
        <w:tblW w:w="10774" w:type="dxa"/>
        <w:tblInd w:w="-714" w:type="dxa"/>
        <w:tblLayout w:type="fixed"/>
        <w:tblLook w:val="04A0" w:firstRow="1" w:lastRow="0" w:firstColumn="1" w:lastColumn="0" w:noHBand="0" w:noVBand="1"/>
      </w:tblPr>
      <w:tblGrid>
        <w:gridCol w:w="1418"/>
        <w:gridCol w:w="3260"/>
        <w:gridCol w:w="851"/>
        <w:gridCol w:w="567"/>
        <w:gridCol w:w="567"/>
        <w:gridCol w:w="1559"/>
        <w:gridCol w:w="2552"/>
      </w:tblGrid>
      <w:tr w:rsidR="009E3AE8" w14:paraId="43A020BB" w14:textId="77777777" w:rsidTr="009E3AE8">
        <w:tc>
          <w:tcPr>
            <w:tcW w:w="1418" w:type="dxa"/>
          </w:tcPr>
          <w:p w14:paraId="3DAB598B" w14:textId="55E313F5" w:rsidR="009E3AE8" w:rsidRPr="009E3AE8" w:rsidRDefault="009E3AE8" w:rsidP="00733672">
            <w:pPr>
              <w:rPr>
                <w:b/>
                <w:bCs/>
              </w:rPr>
            </w:pPr>
            <w:r w:rsidRPr="009E3AE8">
              <w:rPr>
                <w:b/>
                <w:bCs/>
              </w:rPr>
              <w:t>Paper / Item</w:t>
            </w:r>
          </w:p>
        </w:tc>
        <w:tc>
          <w:tcPr>
            <w:tcW w:w="3260" w:type="dxa"/>
          </w:tcPr>
          <w:p w14:paraId="71970F19" w14:textId="5BE108DF" w:rsidR="009E3AE8" w:rsidRPr="009E3AE8" w:rsidRDefault="009E3AE8" w:rsidP="00733672">
            <w:pPr>
              <w:rPr>
                <w:b/>
                <w:bCs/>
              </w:rPr>
            </w:pPr>
            <w:r w:rsidRPr="009E3AE8">
              <w:rPr>
                <w:b/>
                <w:bCs/>
              </w:rPr>
              <w:t>Recommendation</w:t>
            </w:r>
          </w:p>
        </w:tc>
        <w:tc>
          <w:tcPr>
            <w:tcW w:w="851" w:type="dxa"/>
          </w:tcPr>
          <w:p w14:paraId="4B2B179C" w14:textId="5C9F8111" w:rsidR="009E3AE8" w:rsidRPr="009E3AE8" w:rsidRDefault="009E3AE8" w:rsidP="00733672">
            <w:pPr>
              <w:rPr>
                <w:b/>
                <w:bCs/>
                <w:sz w:val="16"/>
                <w:szCs w:val="16"/>
              </w:rPr>
            </w:pPr>
            <w:r w:rsidRPr="009E3AE8">
              <w:rPr>
                <w:b/>
                <w:bCs/>
                <w:sz w:val="16"/>
                <w:szCs w:val="16"/>
              </w:rPr>
              <w:t>Priority</w:t>
            </w:r>
          </w:p>
        </w:tc>
        <w:tc>
          <w:tcPr>
            <w:tcW w:w="567" w:type="dxa"/>
          </w:tcPr>
          <w:p w14:paraId="07638559" w14:textId="198AF29C" w:rsidR="009E3AE8" w:rsidRPr="009E3AE8" w:rsidRDefault="009E3AE8" w:rsidP="00733672">
            <w:pPr>
              <w:rPr>
                <w:b/>
                <w:bCs/>
                <w:sz w:val="16"/>
                <w:szCs w:val="16"/>
              </w:rPr>
            </w:pPr>
            <w:r w:rsidRPr="009E3AE8">
              <w:rPr>
                <w:b/>
                <w:bCs/>
                <w:sz w:val="16"/>
                <w:szCs w:val="16"/>
              </w:rPr>
              <w:t>Risk</w:t>
            </w:r>
          </w:p>
        </w:tc>
        <w:tc>
          <w:tcPr>
            <w:tcW w:w="567" w:type="dxa"/>
          </w:tcPr>
          <w:p w14:paraId="3D939118" w14:textId="0845CF3F" w:rsidR="009E3AE8" w:rsidRPr="009E3AE8" w:rsidRDefault="009E3AE8" w:rsidP="00733672">
            <w:pPr>
              <w:rPr>
                <w:b/>
                <w:bCs/>
              </w:rPr>
            </w:pPr>
            <w:r>
              <w:rPr>
                <w:b/>
                <w:bCs/>
                <w:sz w:val="16"/>
                <w:szCs w:val="16"/>
              </w:rPr>
              <w:t>Cost</w:t>
            </w:r>
          </w:p>
        </w:tc>
        <w:tc>
          <w:tcPr>
            <w:tcW w:w="1559" w:type="dxa"/>
          </w:tcPr>
          <w:p w14:paraId="4F359A4E" w14:textId="784CE083" w:rsidR="009E3AE8" w:rsidRPr="009E3AE8" w:rsidRDefault="009E3AE8" w:rsidP="00733672">
            <w:pPr>
              <w:rPr>
                <w:b/>
                <w:bCs/>
              </w:rPr>
            </w:pPr>
            <w:r>
              <w:rPr>
                <w:b/>
                <w:bCs/>
              </w:rPr>
              <w:t>Focus Question</w:t>
            </w:r>
          </w:p>
        </w:tc>
        <w:tc>
          <w:tcPr>
            <w:tcW w:w="2552" w:type="dxa"/>
          </w:tcPr>
          <w:p w14:paraId="566D8BFC" w14:textId="6D5A0ED2" w:rsidR="009E3AE8" w:rsidRPr="009E3AE8" w:rsidRDefault="009E3AE8" w:rsidP="00733672">
            <w:pPr>
              <w:rPr>
                <w:b/>
                <w:bCs/>
              </w:rPr>
            </w:pPr>
            <w:r w:rsidRPr="009E3AE8">
              <w:rPr>
                <w:b/>
                <w:bCs/>
              </w:rPr>
              <w:t xml:space="preserve">For Board </w:t>
            </w:r>
            <w:r w:rsidR="004673CF">
              <w:rPr>
                <w:b/>
                <w:bCs/>
              </w:rPr>
              <w:t xml:space="preserve">Comment / </w:t>
            </w:r>
            <w:r w:rsidRPr="009E3AE8">
              <w:rPr>
                <w:b/>
                <w:bCs/>
              </w:rPr>
              <w:t>Action /</w:t>
            </w:r>
            <w:r>
              <w:rPr>
                <w:b/>
                <w:bCs/>
              </w:rPr>
              <w:t xml:space="preserve"> Feedback</w:t>
            </w:r>
            <w:r w:rsidR="004673CF">
              <w:rPr>
                <w:b/>
                <w:bCs/>
              </w:rPr>
              <w:t xml:space="preserve"> </w:t>
            </w:r>
            <w:r>
              <w:rPr>
                <w:b/>
                <w:bCs/>
              </w:rPr>
              <w:t>/</w:t>
            </w:r>
            <w:r w:rsidRPr="009E3AE8">
              <w:rPr>
                <w:b/>
                <w:bCs/>
              </w:rPr>
              <w:t xml:space="preserve"> Approval</w:t>
            </w:r>
          </w:p>
        </w:tc>
      </w:tr>
      <w:tr w:rsidR="009E3AE8" w14:paraId="66F51713" w14:textId="77777777" w:rsidTr="009E3AE8">
        <w:tc>
          <w:tcPr>
            <w:tcW w:w="1418" w:type="dxa"/>
          </w:tcPr>
          <w:p w14:paraId="650FB0AA" w14:textId="146E5361" w:rsidR="009E3AE8" w:rsidRPr="008F2F6D" w:rsidRDefault="001F68ED" w:rsidP="00733672">
            <w:pPr>
              <w:rPr>
                <w:b/>
                <w:bCs/>
              </w:rPr>
            </w:pPr>
            <w:hyperlink r:id="rId11" w:history="1">
              <w:r w:rsidR="009E3AE8" w:rsidRPr="00CF075D">
                <w:rPr>
                  <w:rStyle w:val="Hyperlink"/>
                  <w:b/>
                  <w:bCs/>
                </w:rPr>
                <w:t>Professional</w:t>
              </w:r>
            </w:hyperlink>
          </w:p>
          <w:p w14:paraId="71148C22" w14:textId="21F7A1D0" w:rsidR="009E3AE8" w:rsidRDefault="009E3AE8" w:rsidP="00733672">
            <w:r>
              <w:t>Item 1</w:t>
            </w:r>
          </w:p>
        </w:tc>
        <w:tc>
          <w:tcPr>
            <w:tcW w:w="3260" w:type="dxa"/>
          </w:tcPr>
          <w:p w14:paraId="3C50EB43" w14:textId="62DCB72F" w:rsidR="009E3AE8" w:rsidRDefault="009E3AE8" w:rsidP="00733672">
            <w:r w:rsidRPr="00733672">
              <w:t>Recruit and appoint an Education Manager for 10 January 2022 start</w:t>
            </w:r>
            <w:r w:rsidR="0007466F">
              <w:t xml:space="preserve"> </w:t>
            </w:r>
            <w:r w:rsidR="0007466F" w:rsidRPr="0007466F">
              <w:rPr>
                <w:color w:val="FF0000"/>
              </w:rPr>
              <w:t>(Unbudgeted cost of $43K in FY22).</w:t>
            </w:r>
          </w:p>
        </w:tc>
        <w:tc>
          <w:tcPr>
            <w:tcW w:w="851" w:type="dxa"/>
          </w:tcPr>
          <w:p w14:paraId="075E4D5F" w14:textId="2D664E4D" w:rsidR="009E3AE8" w:rsidRDefault="009E3AE8" w:rsidP="00733672">
            <w:r>
              <w:rPr>
                <w:rFonts w:ascii="Arial" w:hAnsi="Arial" w:cs="Arial"/>
                <w:noProof/>
                <w:sz w:val="20"/>
                <w:szCs w:val="20"/>
              </w:rPr>
              <w:drawing>
                <wp:inline distT="0" distB="0" distL="0" distR="0" wp14:anchorId="48D6B252" wp14:editId="6F83BF2A">
                  <wp:extent cx="206734" cy="206734"/>
                  <wp:effectExtent l="0" t="0" r="3175" b="3175"/>
                  <wp:docPr id="1" name="Graphic 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51DE4DC9" w14:textId="1BAA43A4" w:rsidR="009E3AE8" w:rsidRDefault="009E3AE8" w:rsidP="00733672">
            <w:r>
              <w:rPr>
                <w:rFonts w:ascii="Arial" w:hAnsi="Arial" w:cs="Arial"/>
                <w:noProof/>
                <w:sz w:val="20"/>
                <w:szCs w:val="20"/>
              </w:rPr>
              <w:drawing>
                <wp:inline distT="0" distB="0" distL="0" distR="0" wp14:anchorId="6DF1A8C4" wp14:editId="6AE45E43">
                  <wp:extent cx="206734" cy="206734"/>
                  <wp:effectExtent l="0" t="0" r="3175" b="3175"/>
                  <wp:docPr id="20" name="Graphic 2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59DAAF2A" w14:textId="1A443A31" w:rsidR="009E3AE8" w:rsidRDefault="009E3AE8" w:rsidP="00733672">
            <w:r>
              <w:rPr>
                <w:rFonts w:ascii="Arial" w:hAnsi="Arial" w:cs="Arial"/>
                <w:noProof/>
                <w:sz w:val="20"/>
                <w:szCs w:val="20"/>
              </w:rPr>
              <w:drawing>
                <wp:inline distT="0" distB="0" distL="0" distR="0" wp14:anchorId="46792E0F" wp14:editId="31E8E17F">
                  <wp:extent cx="206734" cy="206734"/>
                  <wp:effectExtent l="0" t="0" r="3175" b="3175"/>
                  <wp:docPr id="32" name="Graphic 3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1559" w:type="dxa"/>
          </w:tcPr>
          <w:p w14:paraId="47CAFBCB" w14:textId="3E444D7F" w:rsidR="009E3AE8" w:rsidRDefault="009E3AE8" w:rsidP="00733672">
            <w:r>
              <w:t>Is this worth the $43K unbudgeted salary cost? Is the timing right to do this now?</w:t>
            </w:r>
          </w:p>
        </w:tc>
        <w:tc>
          <w:tcPr>
            <w:tcW w:w="2552" w:type="dxa"/>
          </w:tcPr>
          <w:p w14:paraId="512A831F" w14:textId="29168AD7" w:rsidR="009E3AE8" w:rsidRPr="00375DF4" w:rsidRDefault="009E3AE8" w:rsidP="00733672">
            <w:pPr>
              <w:rPr>
                <w:i/>
                <w:iCs/>
              </w:rPr>
            </w:pPr>
          </w:p>
        </w:tc>
      </w:tr>
      <w:tr w:rsidR="009E3AE8" w14:paraId="16ACF504" w14:textId="77777777" w:rsidTr="009E3AE8">
        <w:tc>
          <w:tcPr>
            <w:tcW w:w="1418" w:type="dxa"/>
          </w:tcPr>
          <w:p w14:paraId="2C94275F" w14:textId="6A5BC676" w:rsidR="009E3AE8" w:rsidRPr="008F2F6D" w:rsidRDefault="001F68ED" w:rsidP="008F2F6D">
            <w:pPr>
              <w:rPr>
                <w:b/>
                <w:bCs/>
              </w:rPr>
            </w:pPr>
            <w:hyperlink r:id="rId12" w:history="1">
              <w:r w:rsidR="009E3AE8" w:rsidRPr="00CF075D">
                <w:rPr>
                  <w:rStyle w:val="Hyperlink"/>
                  <w:b/>
                  <w:bCs/>
                </w:rPr>
                <w:t>Professional</w:t>
              </w:r>
            </w:hyperlink>
          </w:p>
          <w:p w14:paraId="1C77BBA1" w14:textId="400DE6F4" w:rsidR="009E3AE8" w:rsidRDefault="009E3AE8" w:rsidP="00733672">
            <w:r>
              <w:t>Item 2</w:t>
            </w:r>
          </w:p>
        </w:tc>
        <w:tc>
          <w:tcPr>
            <w:tcW w:w="3260" w:type="dxa"/>
          </w:tcPr>
          <w:p w14:paraId="3865DB77" w14:textId="3D2900E7" w:rsidR="009E3AE8" w:rsidRPr="00733672" w:rsidRDefault="009E3AE8" w:rsidP="00733672">
            <w:r w:rsidRPr="00733672">
              <w:t xml:space="preserve">Amend constitution to include endorsed agents, endorsed </w:t>
            </w:r>
            <w:r w:rsidRPr="00733672">
              <w:lastRenderedPageBreak/>
              <w:t>service organisations and endorsed ELT professionals as Full Members (upon endorsement) while noting that if more than one full member belongs or is employed by another full member, they receive Associate Member voting rights at the AGM.</w:t>
            </w:r>
          </w:p>
        </w:tc>
        <w:tc>
          <w:tcPr>
            <w:tcW w:w="851" w:type="dxa"/>
          </w:tcPr>
          <w:p w14:paraId="36A1451D" w14:textId="2C49A41F" w:rsidR="009E3AE8" w:rsidRDefault="009E3AE8" w:rsidP="00733672">
            <w:r>
              <w:rPr>
                <w:rFonts w:ascii="Arial" w:hAnsi="Arial" w:cs="Arial"/>
                <w:noProof/>
                <w:sz w:val="20"/>
                <w:szCs w:val="20"/>
              </w:rPr>
              <w:lastRenderedPageBreak/>
              <w:drawing>
                <wp:inline distT="0" distB="0" distL="0" distR="0" wp14:anchorId="202A0877" wp14:editId="0793707C">
                  <wp:extent cx="206734" cy="206734"/>
                  <wp:effectExtent l="0" t="0" r="3175" b="3175"/>
                  <wp:docPr id="2" name="Graphic 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3464D1F0" w14:textId="4214065A" w:rsidR="009E3AE8" w:rsidRDefault="009E3AE8" w:rsidP="00733672">
            <w:r>
              <w:rPr>
                <w:rFonts w:ascii="Arial" w:hAnsi="Arial" w:cs="Arial"/>
                <w:noProof/>
                <w:sz w:val="20"/>
                <w:szCs w:val="20"/>
              </w:rPr>
              <w:drawing>
                <wp:inline distT="0" distB="0" distL="0" distR="0" wp14:anchorId="1544928D" wp14:editId="02B6D543">
                  <wp:extent cx="206734" cy="206734"/>
                  <wp:effectExtent l="0" t="0" r="3175" b="3175"/>
                  <wp:docPr id="51" name="Graphic 5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567" w:type="dxa"/>
          </w:tcPr>
          <w:p w14:paraId="5BC22DB9" w14:textId="717BB6C6" w:rsidR="009E3AE8" w:rsidRDefault="009E3AE8" w:rsidP="00733672">
            <w:r>
              <w:rPr>
                <w:rFonts w:ascii="Arial" w:hAnsi="Arial" w:cs="Arial"/>
                <w:noProof/>
                <w:sz w:val="20"/>
                <w:szCs w:val="20"/>
              </w:rPr>
              <w:drawing>
                <wp:inline distT="0" distB="0" distL="0" distR="0" wp14:anchorId="321FCC02" wp14:editId="08E228CB">
                  <wp:extent cx="206734" cy="206734"/>
                  <wp:effectExtent l="0" t="0" r="3175" b="3175"/>
                  <wp:docPr id="33" name="Graphic 3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1559" w:type="dxa"/>
          </w:tcPr>
          <w:p w14:paraId="63E53E0D" w14:textId="2DC81E76" w:rsidR="009E3AE8" w:rsidRDefault="009E3AE8" w:rsidP="00733672">
            <w:r>
              <w:t xml:space="preserve">Are we ready to consolidate, </w:t>
            </w:r>
            <w:r>
              <w:lastRenderedPageBreak/>
              <w:t>clarify and open full membership to agents, service organisations and ELT professionals?</w:t>
            </w:r>
          </w:p>
        </w:tc>
        <w:tc>
          <w:tcPr>
            <w:tcW w:w="2552" w:type="dxa"/>
          </w:tcPr>
          <w:p w14:paraId="6C8A74BA" w14:textId="77777777" w:rsidR="009E3AE8" w:rsidRDefault="009E3AE8" w:rsidP="00733672"/>
        </w:tc>
      </w:tr>
      <w:tr w:rsidR="009E3AE8" w14:paraId="63620A6E" w14:textId="77777777" w:rsidTr="009E3AE8">
        <w:tc>
          <w:tcPr>
            <w:tcW w:w="1418" w:type="dxa"/>
          </w:tcPr>
          <w:p w14:paraId="532850E1" w14:textId="3C4FE8B0" w:rsidR="009E3AE8" w:rsidRPr="008F2F6D" w:rsidRDefault="001F68ED" w:rsidP="008F2F6D">
            <w:pPr>
              <w:rPr>
                <w:b/>
                <w:bCs/>
              </w:rPr>
            </w:pPr>
            <w:hyperlink r:id="rId13" w:history="1">
              <w:r w:rsidR="009E3AE8" w:rsidRPr="00CF075D">
                <w:rPr>
                  <w:rStyle w:val="Hyperlink"/>
                  <w:b/>
                  <w:bCs/>
                </w:rPr>
                <w:t>Professional</w:t>
              </w:r>
            </w:hyperlink>
          </w:p>
          <w:p w14:paraId="1BC8C921" w14:textId="1B70C9B9" w:rsidR="009E3AE8" w:rsidRDefault="009E3AE8" w:rsidP="00733672">
            <w:r>
              <w:t>Item 3</w:t>
            </w:r>
          </w:p>
        </w:tc>
        <w:tc>
          <w:tcPr>
            <w:tcW w:w="3260" w:type="dxa"/>
          </w:tcPr>
          <w:p w14:paraId="00D8C96A" w14:textId="1E4A76D9" w:rsidR="009E3AE8" w:rsidRPr="008F2F6D" w:rsidRDefault="0007466F" w:rsidP="00733672">
            <w:r>
              <w:t>Stage</w:t>
            </w:r>
            <w:r w:rsidR="009E3AE8" w:rsidRPr="008F2F6D">
              <w:t xml:space="preserve"> 1 of HubSpot and Legacy CRM upgrade before end of 2021.</w:t>
            </w:r>
            <w:r>
              <w:t xml:space="preserve"> (Budgeted in FY22).</w:t>
            </w:r>
          </w:p>
        </w:tc>
        <w:tc>
          <w:tcPr>
            <w:tcW w:w="851" w:type="dxa"/>
          </w:tcPr>
          <w:p w14:paraId="17B3937E" w14:textId="01F4AADA" w:rsidR="009E3AE8" w:rsidRDefault="009E3AE8" w:rsidP="00733672">
            <w:r>
              <w:rPr>
                <w:rFonts w:ascii="Arial" w:hAnsi="Arial" w:cs="Arial"/>
                <w:noProof/>
                <w:sz w:val="20"/>
                <w:szCs w:val="20"/>
              </w:rPr>
              <w:drawing>
                <wp:inline distT="0" distB="0" distL="0" distR="0" wp14:anchorId="224B125D" wp14:editId="350C30DC">
                  <wp:extent cx="206734" cy="206734"/>
                  <wp:effectExtent l="0" t="0" r="3175" b="3175"/>
                  <wp:docPr id="30" name="Graphic 3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3BF71C32" w14:textId="3777E1D3" w:rsidR="009E3AE8" w:rsidRDefault="009E3AE8" w:rsidP="00733672">
            <w:r>
              <w:rPr>
                <w:rFonts w:ascii="Arial" w:hAnsi="Arial" w:cs="Arial"/>
                <w:noProof/>
                <w:sz w:val="20"/>
                <w:szCs w:val="20"/>
              </w:rPr>
              <w:drawing>
                <wp:inline distT="0" distB="0" distL="0" distR="0" wp14:anchorId="0D1F277C" wp14:editId="7F3A6CA0">
                  <wp:extent cx="206734" cy="206734"/>
                  <wp:effectExtent l="0" t="0" r="3175" b="3175"/>
                  <wp:docPr id="31" name="Graphic 3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567" w:type="dxa"/>
          </w:tcPr>
          <w:p w14:paraId="7B62D677" w14:textId="05DA296F" w:rsidR="009E3AE8" w:rsidRDefault="009E3AE8" w:rsidP="00733672">
            <w:r>
              <w:rPr>
                <w:rFonts w:ascii="Arial" w:hAnsi="Arial" w:cs="Arial"/>
                <w:noProof/>
                <w:sz w:val="20"/>
                <w:szCs w:val="20"/>
              </w:rPr>
              <w:drawing>
                <wp:inline distT="0" distB="0" distL="0" distR="0" wp14:anchorId="1D742EC7" wp14:editId="0D3340E8">
                  <wp:extent cx="206734" cy="206734"/>
                  <wp:effectExtent l="0" t="0" r="3175" b="3175"/>
                  <wp:docPr id="34" name="Graphic 3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1559" w:type="dxa"/>
          </w:tcPr>
          <w:p w14:paraId="5F2E1427" w14:textId="0A5E9111" w:rsidR="009E3AE8" w:rsidRDefault="009E3AE8" w:rsidP="00733672">
            <w:r>
              <w:t xml:space="preserve">Do we invest </w:t>
            </w:r>
            <w:r w:rsidR="0007466F">
              <w:t xml:space="preserve">now </w:t>
            </w:r>
            <w:r>
              <w:t>in tech or invest in people?</w:t>
            </w:r>
          </w:p>
        </w:tc>
        <w:tc>
          <w:tcPr>
            <w:tcW w:w="2552" w:type="dxa"/>
          </w:tcPr>
          <w:p w14:paraId="05C7F72C" w14:textId="77777777" w:rsidR="009E3AE8" w:rsidRDefault="009E3AE8" w:rsidP="00733672"/>
        </w:tc>
      </w:tr>
      <w:tr w:rsidR="009E3AE8" w14:paraId="0B4D023A" w14:textId="77777777" w:rsidTr="009E3AE8">
        <w:tc>
          <w:tcPr>
            <w:tcW w:w="1418" w:type="dxa"/>
          </w:tcPr>
          <w:p w14:paraId="4CB3A6AC" w14:textId="660F816B" w:rsidR="009E3AE8" w:rsidRPr="008F2F6D" w:rsidRDefault="001F68ED" w:rsidP="008F2F6D">
            <w:pPr>
              <w:rPr>
                <w:b/>
                <w:bCs/>
              </w:rPr>
            </w:pPr>
            <w:hyperlink r:id="rId14" w:history="1">
              <w:r w:rsidR="009E3AE8" w:rsidRPr="00CF075D">
                <w:rPr>
                  <w:rStyle w:val="Hyperlink"/>
                  <w:b/>
                  <w:bCs/>
                </w:rPr>
                <w:t>Professional</w:t>
              </w:r>
            </w:hyperlink>
          </w:p>
          <w:p w14:paraId="2C824BAC" w14:textId="43D629F3" w:rsidR="009E3AE8" w:rsidRDefault="009E3AE8" w:rsidP="00733672">
            <w:r>
              <w:t>Item 4</w:t>
            </w:r>
          </w:p>
        </w:tc>
        <w:tc>
          <w:tcPr>
            <w:tcW w:w="3260" w:type="dxa"/>
          </w:tcPr>
          <w:p w14:paraId="1D9DDC07" w14:textId="265763DF" w:rsidR="009E3AE8" w:rsidRPr="008F2F6D" w:rsidRDefault="0047010A" w:rsidP="00733672">
            <w:r w:rsidRPr="0047010A">
              <w:t>Approval of a new fee structure for 1 July 2022. Announcement of new fee structure in May 2022. Implementation of 3% annual fee increase from 1 July 2022. Implementation of badge levy from 1 July 2023.</w:t>
            </w:r>
          </w:p>
        </w:tc>
        <w:tc>
          <w:tcPr>
            <w:tcW w:w="851" w:type="dxa"/>
          </w:tcPr>
          <w:p w14:paraId="4C0ECA84" w14:textId="5D06A7ED" w:rsidR="009E3AE8" w:rsidRDefault="009E3AE8" w:rsidP="00733672">
            <w:r>
              <w:rPr>
                <w:rFonts w:ascii="Arial" w:hAnsi="Arial" w:cs="Arial"/>
                <w:noProof/>
                <w:sz w:val="20"/>
                <w:szCs w:val="20"/>
              </w:rPr>
              <w:drawing>
                <wp:inline distT="0" distB="0" distL="0" distR="0" wp14:anchorId="63650C02" wp14:editId="368A8B8F">
                  <wp:extent cx="206734" cy="206734"/>
                  <wp:effectExtent l="0" t="0" r="3175" b="3175"/>
                  <wp:docPr id="11" name="Graphic 1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6114D64F" w14:textId="5547B4C6" w:rsidR="009E3AE8" w:rsidRDefault="009E3AE8" w:rsidP="00733672">
            <w:r>
              <w:rPr>
                <w:rFonts w:ascii="Arial" w:hAnsi="Arial" w:cs="Arial"/>
                <w:noProof/>
                <w:sz w:val="20"/>
                <w:szCs w:val="20"/>
              </w:rPr>
              <w:drawing>
                <wp:inline distT="0" distB="0" distL="0" distR="0" wp14:anchorId="3AEEEBD4" wp14:editId="7ADA08B7">
                  <wp:extent cx="206734" cy="206734"/>
                  <wp:effectExtent l="0" t="0" r="3175" b="3175"/>
                  <wp:docPr id="28" name="Graphic 2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08595F99" w14:textId="6C637FA7" w:rsidR="009E3AE8" w:rsidRDefault="009E3AE8" w:rsidP="00733672">
            <w:r>
              <w:rPr>
                <w:rFonts w:ascii="Arial" w:hAnsi="Arial" w:cs="Arial"/>
                <w:noProof/>
                <w:sz w:val="20"/>
                <w:szCs w:val="20"/>
              </w:rPr>
              <w:drawing>
                <wp:inline distT="0" distB="0" distL="0" distR="0" wp14:anchorId="402528BF" wp14:editId="6C99039F">
                  <wp:extent cx="206734" cy="206734"/>
                  <wp:effectExtent l="0" t="0" r="3175" b="3175"/>
                  <wp:docPr id="44" name="Graphic 4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1559" w:type="dxa"/>
          </w:tcPr>
          <w:p w14:paraId="6E7BF8DA" w14:textId="6E032B9B" w:rsidR="009E3AE8" w:rsidRDefault="009E3AE8" w:rsidP="00733672">
            <w:r>
              <w:t>Can our members accept fee increases in July next year?</w:t>
            </w:r>
          </w:p>
        </w:tc>
        <w:tc>
          <w:tcPr>
            <w:tcW w:w="2552" w:type="dxa"/>
          </w:tcPr>
          <w:p w14:paraId="2506A74D" w14:textId="77777777" w:rsidR="009E3AE8" w:rsidRDefault="009E3AE8" w:rsidP="00733672"/>
        </w:tc>
      </w:tr>
      <w:tr w:rsidR="009E3AE8" w14:paraId="2B47E7FB" w14:textId="77777777" w:rsidTr="009E3AE8">
        <w:tc>
          <w:tcPr>
            <w:tcW w:w="1418" w:type="dxa"/>
          </w:tcPr>
          <w:p w14:paraId="655A1328" w14:textId="4EEA912A" w:rsidR="009E3AE8" w:rsidRDefault="001F68ED" w:rsidP="008F2F6D">
            <w:pPr>
              <w:rPr>
                <w:b/>
                <w:bCs/>
              </w:rPr>
            </w:pPr>
            <w:hyperlink r:id="rId15" w:history="1">
              <w:r w:rsidR="009E3AE8" w:rsidRPr="00CF075D">
                <w:rPr>
                  <w:rStyle w:val="Hyperlink"/>
                  <w:b/>
                  <w:bCs/>
                </w:rPr>
                <w:t>International</w:t>
              </w:r>
            </w:hyperlink>
          </w:p>
          <w:p w14:paraId="3A7FBA48" w14:textId="5D724EC5" w:rsidR="009E3AE8" w:rsidRPr="008F2F6D" w:rsidRDefault="009E3AE8" w:rsidP="008F2F6D">
            <w:r>
              <w:t>Item 1</w:t>
            </w:r>
          </w:p>
        </w:tc>
        <w:tc>
          <w:tcPr>
            <w:tcW w:w="3260" w:type="dxa"/>
          </w:tcPr>
          <w:p w14:paraId="511A2390" w14:textId="22B1EEF1" w:rsidR="009E3AE8" w:rsidRPr="00CF075D" w:rsidRDefault="009E3AE8" w:rsidP="00733672">
            <w:pPr>
              <w:rPr>
                <w:color w:val="FFC000" w:themeColor="accent4"/>
              </w:rPr>
            </w:pPr>
            <w:r w:rsidRPr="00FD1AF3">
              <w:t>NEAS hosts the 2022 QALEN Symposium as a virtual symposium to encourage wider recognition of its position as Global Leader in Quality Assurance in ELT. The NEAS CEO has been nominated as the incoming QALEN Chair from July 2022 and the symposium is tentatively scheduled for June 2022.</w:t>
            </w:r>
            <w:r w:rsidR="00CF075D">
              <w:t xml:space="preserve"> </w:t>
            </w:r>
            <w:r w:rsidR="00FF65E9" w:rsidRPr="0007466F">
              <w:rPr>
                <w:color w:val="FF0000"/>
              </w:rPr>
              <w:t>(Unbudgeted cost of $</w:t>
            </w:r>
            <w:r w:rsidR="00FF65E9">
              <w:rPr>
                <w:color w:val="FF0000"/>
              </w:rPr>
              <w:t>2</w:t>
            </w:r>
            <w:r w:rsidR="00FF65E9" w:rsidRPr="0007466F">
              <w:rPr>
                <w:color w:val="FF0000"/>
              </w:rPr>
              <w:t>K in FY22).</w:t>
            </w:r>
          </w:p>
        </w:tc>
        <w:tc>
          <w:tcPr>
            <w:tcW w:w="851" w:type="dxa"/>
          </w:tcPr>
          <w:p w14:paraId="72D3291F" w14:textId="013D17E9" w:rsidR="009E3AE8" w:rsidRDefault="009E3AE8" w:rsidP="00733672">
            <w:r>
              <w:rPr>
                <w:rFonts w:ascii="Arial" w:hAnsi="Arial" w:cs="Arial"/>
                <w:noProof/>
                <w:sz w:val="20"/>
                <w:szCs w:val="20"/>
              </w:rPr>
              <w:drawing>
                <wp:inline distT="0" distB="0" distL="0" distR="0" wp14:anchorId="1FCAFB25" wp14:editId="49118871">
                  <wp:extent cx="206734" cy="206734"/>
                  <wp:effectExtent l="0" t="0" r="3175" b="3175"/>
                  <wp:docPr id="12" name="Graphic 1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567" w:type="dxa"/>
          </w:tcPr>
          <w:p w14:paraId="623D39AF" w14:textId="5601224E" w:rsidR="009E3AE8" w:rsidRDefault="009E3AE8" w:rsidP="00733672">
            <w:r>
              <w:rPr>
                <w:rFonts w:ascii="Arial" w:hAnsi="Arial" w:cs="Arial"/>
                <w:noProof/>
                <w:sz w:val="20"/>
                <w:szCs w:val="20"/>
              </w:rPr>
              <w:drawing>
                <wp:inline distT="0" distB="0" distL="0" distR="0" wp14:anchorId="048DEED2" wp14:editId="540F91A8">
                  <wp:extent cx="206734" cy="206734"/>
                  <wp:effectExtent l="0" t="0" r="3175" b="3175"/>
                  <wp:docPr id="21" name="Graphic 2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2D712B63" w14:textId="5DE4FFE3" w:rsidR="009E3AE8" w:rsidRDefault="009E3AE8" w:rsidP="00733672">
            <w:r>
              <w:rPr>
                <w:rFonts w:ascii="Arial" w:hAnsi="Arial" w:cs="Arial"/>
                <w:noProof/>
                <w:sz w:val="20"/>
                <w:szCs w:val="20"/>
              </w:rPr>
              <w:drawing>
                <wp:inline distT="0" distB="0" distL="0" distR="0" wp14:anchorId="35399A08" wp14:editId="7DD6F454">
                  <wp:extent cx="206734" cy="206734"/>
                  <wp:effectExtent l="0" t="0" r="3175" b="3175"/>
                  <wp:docPr id="38" name="Graphic 3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1559" w:type="dxa"/>
          </w:tcPr>
          <w:p w14:paraId="29DD73FD" w14:textId="55766A69" w:rsidR="009E3AE8" w:rsidRDefault="009E3AE8" w:rsidP="00733672">
            <w:r>
              <w:t>Will this distract us from our core business activity?</w:t>
            </w:r>
          </w:p>
        </w:tc>
        <w:tc>
          <w:tcPr>
            <w:tcW w:w="2552" w:type="dxa"/>
          </w:tcPr>
          <w:p w14:paraId="2FB76FC7" w14:textId="77777777" w:rsidR="009E3AE8" w:rsidRDefault="009E3AE8" w:rsidP="00733672"/>
        </w:tc>
      </w:tr>
      <w:tr w:rsidR="009E3AE8" w14:paraId="27CE79BB" w14:textId="77777777" w:rsidTr="009E3AE8">
        <w:tc>
          <w:tcPr>
            <w:tcW w:w="1418" w:type="dxa"/>
          </w:tcPr>
          <w:p w14:paraId="6FC4B220" w14:textId="7ECABB89" w:rsidR="009E3AE8" w:rsidRDefault="001F68ED" w:rsidP="00FD1AF3">
            <w:pPr>
              <w:rPr>
                <w:b/>
                <w:bCs/>
              </w:rPr>
            </w:pPr>
            <w:hyperlink r:id="rId16" w:history="1">
              <w:r w:rsidR="009E3AE8" w:rsidRPr="00CF075D">
                <w:rPr>
                  <w:rStyle w:val="Hyperlink"/>
                  <w:b/>
                  <w:bCs/>
                </w:rPr>
                <w:t>International</w:t>
              </w:r>
            </w:hyperlink>
          </w:p>
          <w:p w14:paraId="61952C21" w14:textId="09F3ED50" w:rsidR="009E3AE8" w:rsidRDefault="009E3AE8" w:rsidP="00FD1AF3">
            <w:pPr>
              <w:rPr>
                <w:b/>
                <w:bCs/>
              </w:rPr>
            </w:pPr>
            <w:r>
              <w:t>Item 2</w:t>
            </w:r>
          </w:p>
        </w:tc>
        <w:tc>
          <w:tcPr>
            <w:tcW w:w="3260" w:type="dxa"/>
          </w:tcPr>
          <w:p w14:paraId="32CAC86E" w14:textId="3C13EBC1" w:rsidR="009E3AE8" w:rsidRPr="00FD1AF3" w:rsidRDefault="009E3AE8" w:rsidP="00733672">
            <w:r w:rsidRPr="00FD1AF3">
              <w:t>NEAS co-hosts a live panel focusing on Quality Assurance in ELT at CamTESOL, Phnom Penh in Feb 2022, showcasing Cambodian, Thai and Vietnamese endorsed centres (NEAS has been invited to this by CamTESOL organisers).</w:t>
            </w:r>
            <w:r w:rsidR="00CF075D">
              <w:t xml:space="preserve"> </w:t>
            </w:r>
            <w:r w:rsidR="00CF075D" w:rsidRPr="0007466F">
              <w:rPr>
                <w:color w:val="FF0000"/>
              </w:rPr>
              <w:t>(Unbudgeted cost of $</w:t>
            </w:r>
            <w:r w:rsidR="00CF075D">
              <w:rPr>
                <w:color w:val="FF0000"/>
              </w:rPr>
              <w:t>4</w:t>
            </w:r>
            <w:r w:rsidR="00CF075D" w:rsidRPr="0007466F">
              <w:rPr>
                <w:color w:val="FF0000"/>
              </w:rPr>
              <w:t>K in FY22).</w:t>
            </w:r>
          </w:p>
        </w:tc>
        <w:tc>
          <w:tcPr>
            <w:tcW w:w="851" w:type="dxa"/>
          </w:tcPr>
          <w:p w14:paraId="2877E0A8" w14:textId="454120FC" w:rsidR="009E3AE8" w:rsidRDefault="009E3AE8" w:rsidP="00733672">
            <w:r>
              <w:rPr>
                <w:rFonts w:ascii="Arial" w:hAnsi="Arial" w:cs="Arial"/>
                <w:noProof/>
                <w:sz w:val="20"/>
                <w:szCs w:val="20"/>
              </w:rPr>
              <w:drawing>
                <wp:inline distT="0" distB="0" distL="0" distR="0" wp14:anchorId="6E9B3DD5" wp14:editId="54A00FDC">
                  <wp:extent cx="206734" cy="206734"/>
                  <wp:effectExtent l="0" t="0" r="3175" b="3175"/>
                  <wp:docPr id="16" name="Graphic 1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227DCE37" w14:textId="7453A9AD" w:rsidR="009E3AE8" w:rsidRDefault="009E3AE8" w:rsidP="00733672">
            <w:r>
              <w:rPr>
                <w:rFonts w:ascii="Arial" w:hAnsi="Arial" w:cs="Arial"/>
                <w:noProof/>
                <w:sz w:val="20"/>
                <w:szCs w:val="20"/>
              </w:rPr>
              <w:drawing>
                <wp:inline distT="0" distB="0" distL="0" distR="0" wp14:anchorId="48A15546" wp14:editId="705128FB">
                  <wp:extent cx="206734" cy="206734"/>
                  <wp:effectExtent l="0" t="0" r="3175" b="3175"/>
                  <wp:docPr id="22" name="Graphic 2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5D92003E" w14:textId="3A682909" w:rsidR="009E3AE8" w:rsidRDefault="009E3AE8" w:rsidP="00733672">
            <w:r>
              <w:rPr>
                <w:rFonts w:ascii="Arial" w:hAnsi="Arial" w:cs="Arial"/>
                <w:noProof/>
                <w:sz w:val="20"/>
                <w:szCs w:val="20"/>
              </w:rPr>
              <w:drawing>
                <wp:inline distT="0" distB="0" distL="0" distR="0" wp14:anchorId="48FB151C" wp14:editId="6365C104">
                  <wp:extent cx="206734" cy="206734"/>
                  <wp:effectExtent l="0" t="0" r="3175" b="3175"/>
                  <wp:docPr id="39" name="Graphic 3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1559" w:type="dxa"/>
          </w:tcPr>
          <w:p w14:paraId="19F24574" w14:textId="5943D962" w:rsidR="009E3AE8" w:rsidRDefault="004673CF" w:rsidP="00733672">
            <w:r>
              <w:t xml:space="preserve">Is February 2022 the right timing to resume international marketing? </w:t>
            </w:r>
            <w:r w:rsidR="009E3AE8">
              <w:t>Do we focus on virtual international events only in 2022 and limit travel?</w:t>
            </w:r>
          </w:p>
        </w:tc>
        <w:tc>
          <w:tcPr>
            <w:tcW w:w="2552" w:type="dxa"/>
          </w:tcPr>
          <w:p w14:paraId="7E5F445C" w14:textId="77777777" w:rsidR="009E3AE8" w:rsidRDefault="009E3AE8" w:rsidP="00733672"/>
        </w:tc>
      </w:tr>
      <w:tr w:rsidR="009E3AE8" w14:paraId="3F8F04FA" w14:textId="77777777" w:rsidTr="009E3AE8">
        <w:tc>
          <w:tcPr>
            <w:tcW w:w="1418" w:type="dxa"/>
          </w:tcPr>
          <w:p w14:paraId="6CBECB53" w14:textId="21B6D838" w:rsidR="009E3AE8" w:rsidRDefault="001F68ED" w:rsidP="00FD1AF3">
            <w:pPr>
              <w:rPr>
                <w:b/>
                <w:bCs/>
              </w:rPr>
            </w:pPr>
            <w:hyperlink r:id="rId17" w:history="1">
              <w:r w:rsidR="009E3AE8" w:rsidRPr="00CF075D">
                <w:rPr>
                  <w:rStyle w:val="Hyperlink"/>
                  <w:b/>
                  <w:bCs/>
                </w:rPr>
                <w:t>International</w:t>
              </w:r>
            </w:hyperlink>
          </w:p>
          <w:p w14:paraId="0643E7C5" w14:textId="2860DCE5" w:rsidR="009E3AE8" w:rsidRDefault="009E3AE8" w:rsidP="00FD1AF3">
            <w:pPr>
              <w:rPr>
                <w:b/>
                <w:bCs/>
              </w:rPr>
            </w:pPr>
            <w:r>
              <w:t>Item 3</w:t>
            </w:r>
          </w:p>
        </w:tc>
        <w:tc>
          <w:tcPr>
            <w:tcW w:w="3260" w:type="dxa"/>
          </w:tcPr>
          <w:p w14:paraId="761F301A" w14:textId="33132AC7" w:rsidR="009E3AE8" w:rsidRPr="00FD1AF3" w:rsidRDefault="009E3AE8" w:rsidP="00733672">
            <w:r w:rsidRPr="00FD1AF3">
              <w:t>If NEAS is unsuccessful with its applications for funding replication of the Vietnam Workshop Series in Thailand in January 2022, then NEAS self-funds this activity.</w:t>
            </w:r>
            <w:r w:rsidR="00CF075D">
              <w:t xml:space="preserve"> </w:t>
            </w:r>
            <w:r w:rsidR="00CF075D" w:rsidRPr="0007466F">
              <w:rPr>
                <w:color w:val="FF0000"/>
              </w:rPr>
              <w:t xml:space="preserve">(Unbudgeted </w:t>
            </w:r>
            <w:r w:rsidR="00CF075D" w:rsidRPr="0007466F">
              <w:rPr>
                <w:color w:val="FF0000"/>
              </w:rPr>
              <w:lastRenderedPageBreak/>
              <w:t>cost of $</w:t>
            </w:r>
            <w:r w:rsidR="00CF075D">
              <w:rPr>
                <w:color w:val="FF0000"/>
              </w:rPr>
              <w:t>23</w:t>
            </w:r>
            <w:r w:rsidR="00CF075D" w:rsidRPr="0007466F">
              <w:rPr>
                <w:color w:val="FF0000"/>
              </w:rPr>
              <w:t>K in FY22</w:t>
            </w:r>
            <w:r w:rsidR="00FF65E9">
              <w:rPr>
                <w:color w:val="FF0000"/>
              </w:rPr>
              <w:t>, $15K if conducted virtual</w:t>
            </w:r>
            <w:r w:rsidR="00CF075D" w:rsidRPr="0007466F">
              <w:rPr>
                <w:color w:val="FF0000"/>
              </w:rPr>
              <w:t>).</w:t>
            </w:r>
          </w:p>
        </w:tc>
        <w:tc>
          <w:tcPr>
            <w:tcW w:w="851" w:type="dxa"/>
          </w:tcPr>
          <w:p w14:paraId="258556D9" w14:textId="3E4F01D0" w:rsidR="009E3AE8" w:rsidRDefault="009E3AE8" w:rsidP="00733672">
            <w:r>
              <w:rPr>
                <w:rFonts w:ascii="Arial" w:hAnsi="Arial" w:cs="Arial"/>
                <w:noProof/>
                <w:sz w:val="20"/>
                <w:szCs w:val="20"/>
              </w:rPr>
              <w:lastRenderedPageBreak/>
              <w:drawing>
                <wp:inline distT="0" distB="0" distL="0" distR="0" wp14:anchorId="78056E50" wp14:editId="0365E688">
                  <wp:extent cx="206734" cy="206734"/>
                  <wp:effectExtent l="0" t="0" r="3175" b="3175"/>
                  <wp:docPr id="3" name="Graphic 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3795CB92" w14:textId="133CC270" w:rsidR="009E3AE8" w:rsidRDefault="009E3AE8" w:rsidP="00733672">
            <w:r>
              <w:rPr>
                <w:rFonts w:ascii="Arial" w:hAnsi="Arial" w:cs="Arial"/>
                <w:noProof/>
                <w:sz w:val="20"/>
                <w:szCs w:val="20"/>
              </w:rPr>
              <w:drawing>
                <wp:inline distT="0" distB="0" distL="0" distR="0" wp14:anchorId="1CFC102A" wp14:editId="0D04EE0F">
                  <wp:extent cx="206734" cy="206734"/>
                  <wp:effectExtent l="0" t="0" r="3175" b="3175"/>
                  <wp:docPr id="36" name="Graphic 3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567" w:type="dxa"/>
          </w:tcPr>
          <w:p w14:paraId="7F395D45" w14:textId="024DAD62" w:rsidR="009E3AE8" w:rsidRDefault="009E3AE8" w:rsidP="00733672">
            <w:r>
              <w:rPr>
                <w:rFonts w:ascii="Arial" w:hAnsi="Arial" w:cs="Arial"/>
                <w:noProof/>
                <w:sz w:val="20"/>
                <w:szCs w:val="20"/>
              </w:rPr>
              <w:drawing>
                <wp:inline distT="0" distB="0" distL="0" distR="0" wp14:anchorId="7901410F" wp14:editId="4029C457">
                  <wp:extent cx="206734" cy="206734"/>
                  <wp:effectExtent l="0" t="0" r="3175" b="3175"/>
                  <wp:docPr id="35" name="Graphic 3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1559" w:type="dxa"/>
          </w:tcPr>
          <w:p w14:paraId="076190FC" w14:textId="12CEF166" w:rsidR="009E3AE8" w:rsidRDefault="009E3AE8" w:rsidP="00733672">
            <w:r>
              <w:t>If we have to self-fund international marketing activities, is it worth it?</w:t>
            </w:r>
          </w:p>
        </w:tc>
        <w:tc>
          <w:tcPr>
            <w:tcW w:w="2552" w:type="dxa"/>
          </w:tcPr>
          <w:p w14:paraId="4503D855" w14:textId="77777777" w:rsidR="009E3AE8" w:rsidRDefault="009E3AE8" w:rsidP="00733672"/>
        </w:tc>
      </w:tr>
      <w:tr w:rsidR="009E3AE8" w14:paraId="052AD4A1" w14:textId="77777777" w:rsidTr="009E3AE8">
        <w:tc>
          <w:tcPr>
            <w:tcW w:w="1418" w:type="dxa"/>
          </w:tcPr>
          <w:p w14:paraId="181B409E" w14:textId="63DA7A14" w:rsidR="009E3AE8" w:rsidRDefault="001F68ED" w:rsidP="00FD1AF3">
            <w:pPr>
              <w:rPr>
                <w:b/>
                <w:bCs/>
              </w:rPr>
            </w:pPr>
            <w:hyperlink r:id="rId18" w:history="1">
              <w:r w:rsidR="009E3AE8" w:rsidRPr="00CF075D">
                <w:rPr>
                  <w:rStyle w:val="Hyperlink"/>
                  <w:b/>
                  <w:bCs/>
                </w:rPr>
                <w:t>Advocacy</w:t>
              </w:r>
            </w:hyperlink>
            <w:r w:rsidR="009E3AE8">
              <w:rPr>
                <w:b/>
                <w:bCs/>
              </w:rPr>
              <w:t xml:space="preserve"> </w:t>
            </w:r>
          </w:p>
          <w:p w14:paraId="44838CB1" w14:textId="399BAF70" w:rsidR="009E3AE8" w:rsidRPr="009C585A" w:rsidRDefault="009E3AE8" w:rsidP="00FD1AF3">
            <w:r>
              <w:t>Item 1</w:t>
            </w:r>
          </w:p>
        </w:tc>
        <w:tc>
          <w:tcPr>
            <w:tcW w:w="3260" w:type="dxa"/>
          </w:tcPr>
          <w:p w14:paraId="05B94B47" w14:textId="2425B776" w:rsidR="009E3AE8" w:rsidRPr="00FD1AF3" w:rsidRDefault="00151EB8" w:rsidP="00733672">
            <w:r w:rsidRPr="00650F08">
              <w:t>Establishment of a Centre of Excellence for Quality Assurance in English Language Teaching at either ACU, CQU, Macquarie, UOW, Sydney or WSU</w:t>
            </w:r>
            <w:r>
              <w:t xml:space="preserve"> and seek ARC Linkage Grants</w:t>
            </w:r>
            <w:r w:rsidRPr="00650F08">
              <w:t>.</w:t>
            </w:r>
            <w:r>
              <w:t xml:space="preserve"> This includes sourcing a dedicated rent-free office space for NEAS.</w:t>
            </w:r>
            <w:r w:rsidR="00FF65E9">
              <w:t xml:space="preserve"> </w:t>
            </w:r>
            <w:r w:rsidR="00FF65E9" w:rsidRPr="0007466F">
              <w:rPr>
                <w:color w:val="FF0000"/>
              </w:rPr>
              <w:t>(Unbudgeted cost of $</w:t>
            </w:r>
            <w:r w:rsidR="00FF65E9">
              <w:rPr>
                <w:color w:val="FF0000"/>
              </w:rPr>
              <w:t>10</w:t>
            </w:r>
            <w:r w:rsidR="00FF65E9" w:rsidRPr="0007466F">
              <w:rPr>
                <w:color w:val="FF0000"/>
              </w:rPr>
              <w:t>K in FY22).</w:t>
            </w:r>
          </w:p>
        </w:tc>
        <w:tc>
          <w:tcPr>
            <w:tcW w:w="851" w:type="dxa"/>
          </w:tcPr>
          <w:p w14:paraId="3089A8A1" w14:textId="40AC3FC3" w:rsidR="009E3AE8" w:rsidRDefault="009E3AE8" w:rsidP="00733672">
            <w:r>
              <w:rPr>
                <w:rFonts w:ascii="Arial" w:hAnsi="Arial" w:cs="Arial"/>
                <w:noProof/>
                <w:sz w:val="20"/>
                <w:szCs w:val="20"/>
              </w:rPr>
              <w:drawing>
                <wp:inline distT="0" distB="0" distL="0" distR="0" wp14:anchorId="2B1702CB" wp14:editId="2CD2EF41">
                  <wp:extent cx="206734" cy="206734"/>
                  <wp:effectExtent l="0" t="0" r="3175" b="3175"/>
                  <wp:docPr id="13" name="Graphic 1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567" w:type="dxa"/>
          </w:tcPr>
          <w:p w14:paraId="4D459108" w14:textId="7113244E" w:rsidR="009E3AE8" w:rsidRDefault="009E3AE8" w:rsidP="00733672">
            <w:r>
              <w:rPr>
                <w:rFonts w:ascii="Arial" w:hAnsi="Arial" w:cs="Arial"/>
                <w:noProof/>
                <w:sz w:val="20"/>
                <w:szCs w:val="20"/>
              </w:rPr>
              <w:drawing>
                <wp:inline distT="0" distB="0" distL="0" distR="0" wp14:anchorId="0664B2C9" wp14:editId="602B729A">
                  <wp:extent cx="206734" cy="206734"/>
                  <wp:effectExtent l="0" t="0" r="3175" b="3175"/>
                  <wp:docPr id="50" name="Graphic 5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567" w:type="dxa"/>
          </w:tcPr>
          <w:p w14:paraId="099C2F56" w14:textId="51AA9B3B" w:rsidR="009E3AE8" w:rsidRDefault="009E3AE8" w:rsidP="00733672">
            <w:r>
              <w:rPr>
                <w:rFonts w:ascii="Arial" w:hAnsi="Arial" w:cs="Arial"/>
                <w:noProof/>
                <w:sz w:val="20"/>
                <w:szCs w:val="20"/>
              </w:rPr>
              <w:drawing>
                <wp:inline distT="0" distB="0" distL="0" distR="0" wp14:anchorId="19120C0A" wp14:editId="64649ACC">
                  <wp:extent cx="206734" cy="206734"/>
                  <wp:effectExtent l="0" t="0" r="3175" b="3175"/>
                  <wp:docPr id="40" name="Graphic 4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1559" w:type="dxa"/>
          </w:tcPr>
          <w:p w14:paraId="2C16E70E" w14:textId="510A9A6D" w:rsidR="009E3AE8" w:rsidRDefault="009E3AE8" w:rsidP="00733672">
            <w:r>
              <w:t>Do we build research partnerships in conjunction with office space?</w:t>
            </w:r>
          </w:p>
        </w:tc>
        <w:tc>
          <w:tcPr>
            <w:tcW w:w="2552" w:type="dxa"/>
          </w:tcPr>
          <w:p w14:paraId="05AAD144" w14:textId="77777777" w:rsidR="009E3AE8" w:rsidRDefault="009E3AE8" w:rsidP="00733672"/>
        </w:tc>
      </w:tr>
      <w:tr w:rsidR="009E3AE8" w14:paraId="6412E384" w14:textId="77777777" w:rsidTr="009E3AE8">
        <w:tc>
          <w:tcPr>
            <w:tcW w:w="1418" w:type="dxa"/>
          </w:tcPr>
          <w:p w14:paraId="43AF30C5" w14:textId="490E71C8" w:rsidR="009E3AE8" w:rsidRDefault="001F68ED" w:rsidP="009C585A">
            <w:pPr>
              <w:rPr>
                <w:b/>
                <w:bCs/>
              </w:rPr>
            </w:pPr>
            <w:hyperlink r:id="rId19" w:history="1">
              <w:r w:rsidR="009E3AE8" w:rsidRPr="00CF075D">
                <w:rPr>
                  <w:rStyle w:val="Hyperlink"/>
                  <w:b/>
                  <w:bCs/>
                </w:rPr>
                <w:t>Advocacy</w:t>
              </w:r>
            </w:hyperlink>
            <w:r w:rsidR="009E3AE8">
              <w:rPr>
                <w:b/>
                <w:bCs/>
              </w:rPr>
              <w:t xml:space="preserve"> </w:t>
            </w:r>
          </w:p>
          <w:p w14:paraId="1B2DBFB2" w14:textId="3B250B62" w:rsidR="009E3AE8" w:rsidRDefault="009E3AE8" w:rsidP="009C585A">
            <w:pPr>
              <w:rPr>
                <w:b/>
                <w:bCs/>
              </w:rPr>
            </w:pPr>
            <w:r>
              <w:t>Item 2</w:t>
            </w:r>
          </w:p>
        </w:tc>
        <w:tc>
          <w:tcPr>
            <w:tcW w:w="3260" w:type="dxa"/>
          </w:tcPr>
          <w:p w14:paraId="451FD51F" w14:textId="37724352" w:rsidR="009E3AE8" w:rsidRPr="00FD1AF3" w:rsidRDefault="009E3AE8" w:rsidP="00733672">
            <w:r>
              <w:t>Strengthen Parliamentary Ties with Parliamentary Friends of International Education by conducting an Industry Roundtable in Aug 2022.</w:t>
            </w:r>
            <w:r w:rsidR="00FF65E9">
              <w:t xml:space="preserve"> </w:t>
            </w:r>
          </w:p>
        </w:tc>
        <w:tc>
          <w:tcPr>
            <w:tcW w:w="851" w:type="dxa"/>
          </w:tcPr>
          <w:p w14:paraId="713FEEB6" w14:textId="77499F6F" w:rsidR="009E3AE8" w:rsidRDefault="009E3AE8" w:rsidP="00733672">
            <w:r>
              <w:rPr>
                <w:rFonts w:ascii="Arial" w:hAnsi="Arial" w:cs="Arial"/>
                <w:noProof/>
                <w:sz w:val="20"/>
                <w:szCs w:val="20"/>
              </w:rPr>
              <w:drawing>
                <wp:inline distT="0" distB="0" distL="0" distR="0" wp14:anchorId="5E764FB9" wp14:editId="7BDD4358">
                  <wp:extent cx="206734" cy="206734"/>
                  <wp:effectExtent l="0" t="0" r="3175" b="3175"/>
                  <wp:docPr id="4" name="Graphic 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3E5847CC" w14:textId="198D597B" w:rsidR="009E3AE8" w:rsidRDefault="009E3AE8" w:rsidP="00733672">
            <w:r>
              <w:rPr>
                <w:rFonts w:ascii="Arial" w:hAnsi="Arial" w:cs="Arial"/>
                <w:noProof/>
                <w:sz w:val="20"/>
                <w:szCs w:val="20"/>
              </w:rPr>
              <w:drawing>
                <wp:inline distT="0" distB="0" distL="0" distR="0" wp14:anchorId="5EAE870B" wp14:editId="687F9626">
                  <wp:extent cx="206734" cy="206734"/>
                  <wp:effectExtent l="0" t="0" r="3175" b="3175"/>
                  <wp:docPr id="29" name="Graphic 2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2DBACA9C" w14:textId="029362AC" w:rsidR="009E3AE8" w:rsidRDefault="009E3AE8" w:rsidP="00733672">
            <w:r>
              <w:rPr>
                <w:rFonts w:ascii="Arial" w:hAnsi="Arial" w:cs="Arial"/>
                <w:noProof/>
                <w:sz w:val="20"/>
                <w:szCs w:val="20"/>
              </w:rPr>
              <w:drawing>
                <wp:inline distT="0" distB="0" distL="0" distR="0" wp14:anchorId="6B3D1CCD" wp14:editId="2286C6C8">
                  <wp:extent cx="206734" cy="206734"/>
                  <wp:effectExtent l="0" t="0" r="3175" b="3175"/>
                  <wp:docPr id="41" name="Graphic 4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1559" w:type="dxa"/>
          </w:tcPr>
          <w:p w14:paraId="3CB59DE6" w14:textId="278476C7" w:rsidR="009E3AE8" w:rsidRDefault="009E3AE8" w:rsidP="00733672">
            <w:r>
              <w:t>Is this an already crowded space and do we risk a poorly attended event?</w:t>
            </w:r>
          </w:p>
        </w:tc>
        <w:tc>
          <w:tcPr>
            <w:tcW w:w="2552" w:type="dxa"/>
          </w:tcPr>
          <w:p w14:paraId="1E775C0B" w14:textId="77777777" w:rsidR="009E3AE8" w:rsidRDefault="009E3AE8" w:rsidP="00733672"/>
        </w:tc>
      </w:tr>
      <w:tr w:rsidR="009E3AE8" w14:paraId="3E18684D" w14:textId="77777777" w:rsidTr="009E3AE8">
        <w:tc>
          <w:tcPr>
            <w:tcW w:w="1418" w:type="dxa"/>
          </w:tcPr>
          <w:p w14:paraId="4966279E" w14:textId="6A10345A" w:rsidR="009E3AE8" w:rsidRDefault="001F68ED" w:rsidP="009C585A">
            <w:pPr>
              <w:rPr>
                <w:b/>
                <w:bCs/>
              </w:rPr>
            </w:pPr>
            <w:hyperlink r:id="rId20" w:history="1">
              <w:r w:rsidR="009E3AE8" w:rsidRPr="00CF075D">
                <w:rPr>
                  <w:rStyle w:val="Hyperlink"/>
                  <w:b/>
                  <w:bCs/>
                </w:rPr>
                <w:t>Advocacy</w:t>
              </w:r>
            </w:hyperlink>
            <w:r w:rsidR="009E3AE8">
              <w:rPr>
                <w:b/>
                <w:bCs/>
              </w:rPr>
              <w:t xml:space="preserve"> </w:t>
            </w:r>
          </w:p>
          <w:p w14:paraId="2C0C0274" w14:textId="08670BB3" w:rsidR="009E3AE8" w:rsidRDefault="009E3AE8" w:rsidP="009C585A">
            <w:pPr>
              <w:rPr>
                <w:b/>
                <w:bCs/>
              </w:rPr>
            </w:pPr>
            <w:r>
              <w:t>Item 3</w:t>
            </w:r>
          </w:p>
        </w:tc>
        <w:tc>
          <w:tcPr>
            <w:tcW w:w="3260" w:type="dxa"/>
          </w:tcPr>
          <w:p w14:paraId="63C6EEE6" w14:textId="456C446A" w:rsidR="009E3AE8" w:rsidRPr="00FD1AF3" w:rsidRDefault="003E5AF0" w:rsidP="00733672">
            <w:r w:rsidRPr="003E5AF0">
              <w:t>Reallocation of unused operational funds to attend / present at proposed F2F events in FY22.</w:t>
            </w:r>
          </w:p>
        </w:tc>
        <w:tc>
          <w:tcPr>
            <w:tcW w:w="851" w:type="dxa"/>
          </w:tcPr>
          <w:p w14:paraId="61C7CC13" w14:textId="1B8D51F3" w:rsidR="009E3AE8" w:rsidRDefault="009E3AE8" w:rsidP="00733672">
            <w:r>
              <w:rPr>
                <w:rFonts w:ascii="Arial" w:hAnsi="Arial" w:cs="Arial"/>
                <w:noProof/>
                <w:sz w:val="20"/>
                <w:szCs w:val="20"/>
              </w:rPr>
              <w:drawing>
                <wp:inline distT="0" distB="0" distL="0" distR="0" wp14:anchorId="178DA7C1" wp14:editId="30694DBD">
                  <wp:extent cx="206734" cy="206734"/>
                  <wp:effectExtent l="0" t="0" r="3175" b="3175"/>
                  <wp:docPr id="17" name="Graphic 1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03B96F3F" w14:textId="749E1B1E" w:rsidR="009E3AE8" w:rsidRDefault="009E3AE8" w:rsidP="00733672">
            <w:r>
              <w:rPr>
                <w:rFonts w:ascii="Arial" w:hAnsi="Arial" w:cs="Arial"/>
                <w:noProof/>
                <w:sz w:val="20"/>
                <w:szCs w:val="20"/>
              </w:rPr>
              <w:drawing>
                <wp:inline distT="0" distB="0" distL="0" distR="0" wp14:anchorId="70834A80" wp14:editId="77CE1366">
                  <wp:extent cx="206734" cy="206734"/>
                  <wp:effectExtent l="0" t="0" r="3175" b="3175"/>
                  <wp:docPr id="23" name="Graphic 2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58BF2CA7" w14:textId="3BECD284" w:rsidR="009E3AE8" w:rsidRDefault="009E3AE8" w:rsidP="00733672">
            <w:r>
              <w:rPr>
                <w:rFonts w:ascii="Arial" w:hAnsi="Arial" w:cs="Arial"/>
                <w:noProof/>
                <w:sz w:val="20"/>
                <w:szCs w:val="20"/>
              </w:rPr>
              <w:drawing>
                <wp:inline distT="0" distB="0" distL="0" distR="0" wp14:anchorId="0754D910" wp14:editId="5D17FCBF">
                  <wp:extent cx="206734" cy="206734"/>
                  <wp:effectExtent l="0" t="0" r="3175" b="3175"/>
                  <wp:docPr id="52" name="Graphic 5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1559" w:type="dxa"/>
          </w:tcPr>
          <w:p w14:paraId="48ECE73E" w14:textId="38220E56" w:rsidR="009E3AE8" w:rsidRDefault="009E3AE8" w:rsidP="00733672">
            <w:r>
              <w:t>Are F2F events an important part of our marketing mix?</w:t>
            </w:r>
          </w:p>
        </w:tc>
        <w:tc>
          <w:tcPr>
            <w:tcW w:w="2552" w:type="dxa"/>
          </w:tcPr>
          <w:p w14:paraId="43701668" w14:textId="77777777" w:rsidR="009E3AE8" w:rsidRDefault="009E3AE8" w:rsidP="00733672"/>
        </w:tc>
      </w:tr>
      <w:tr w:rsidR="009E3AE8" w14:paraId="752C14DD" w14:textId="77777777" w:rsidTr="009E3AE8">
        <w:tc>
          <w:tcPr>
            <w:tcW w:w="1418" w:type="dxa"/>
          </w:tcPr>
          <w:p w14:paraId="764BBA96" w14:textId="08150CB9" w:rsidR="009E3AE8" w:rsidRDefault="001F68ED" w:rsidP="009C585A">
            <w:pPr>
              <w:rPr>
                <w:b/>
                <w:bCs/>
              </w:rPr>
            </w:pPr>
            <w:hyperlink r:id="rId21" w:history="1">
              <w:r w:rsidR="009E3AE8" w:rsidRPr="00CF075D">
                <w:rPr>
                  <w:rStyle w:val="Hyperlink"/>
                  <w:b/>
                  <w:bCs/>
                </w:rPr>
                <w:t>Advocacy</w:t>
              </w:r>
            </w:hyperlink>
            <w:r w:rsidR="009E3AE8">
              <w:rPr>
                <w:b/>
                <w:bCs/>
              </w:rPr>
              <w:t xml:space="preserve"> </w:t>
            </w:r>
          </w:p>
          <w:p w14:paraId="35BACEDD" w14:textId="5EB56293" w:rsidR="009E3AE8" w:rsidRPr="009C585A" w:rsidRDefault="009E3AE8" w:rsidP="009C585A">
            <w:r>
              <w:t>Item 4</w:t>
            </w:r>
          </w:p>
        </w:tc>
        <w:tc>
          <w:tcPr>
            <w:tcW w:w="3260" w:type="dxa"/>
          </w:tcPr>
          <w:p w14:paraId="5A9EC5CE" w14:textId="4F914071" w:rsidR="009E3AE8" w:rsidRDefault="009E3AE8" w:rsidP="00733672">
            <w:r w:rsidRPr="009C585A">
              <w:t>Seek MOU with AIRC https://www.airc-education.org/ to recognise agent endorsement in conjunction with ISEAA as new agent pathway to endorsement.</w:t>
            </w:r>
          </w:p>
        </w:tc>
        <w:tc>
          <w:tcPr>
            <w:tcW w:w="851" w:type="dxa"/>
          </w:tcPr>
          <w:p w14:paraId="181761A8" w14:textId="52D80F18" w:rsidR="009E3AE8" w:rsidRDefault="009E3AE8" w:rsidP="00733672">
            <w:r>
              <w:rPr>
                <w:rFonts w:ascii="Arial" w:hAnsi="Arial" w:cs="Arial"/>
                <w:noProof/>
                <w:sz w:val="20"/>
                <w:szCs w:val="20"/>
              </w:rPr>
              <w:drawing>
                <wp:inline distT="0" distB="0" distL="0" distR="0" wp14:anchorId="45C7F7D7" wp14:editId="237BD111">
                  <wp:extent cx="206734" cy="206734"/>
                  <wp:effectExtent l="0" t="0" r="3175" b="3175"/>
                  <wp:docPr id="18"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5FB5A035" w14:textId="5B7AA4FE" w:rsidR="009E3AE8" w:rsidRDefault="009E3AE8" w:rsidP="00733672">
            <w:r>
              <w:rPr>
                <w:rFonts w:ascii="Arial" w:hAnsi="Arial" w:cs="Arial"/>
                <w:noProof/>
                <w:sz w:val="20"/>
                <w:szCs w:val="20"/>
              </w:rPr>
              <w:drawing>
                <wp:inline distT="0" distB="0" distL="0" distR="0" wp14:anchorId="0B18884E" wp14:editId="4731DE9E">
                  <wp:extent cx="206734" cy="206734"/>
                  <wp:effectExtent l="0" t="0" r="3175" b="3175"/>
                  <wp:docPr id="49" name="Graphic 4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567" w:type="dxa"/>
          </w:tcPr>
          <w:p w14:paraId="40B78ADC" w14:textId="452CDB9B" w:rsidR="009E3AE8" w:rsidRDefault="009E3AE8" w:rsidP="00733672">
            <w:r>
              <w:rPr>
                <w:rFonts w:ascii="Arial" w:hAnsi="Arial" w:cs="Arial"/>
                <w:noProof/>
                <w:sz w:val="20"/>
                <w:szCs w:val="20"/>
              </w:rPr>
              <w:drawing>
                <wp:inline distT="0" distB="0" distL="0" distR="0" wp14:anchorId="64F19210" wp14:editId="227D57F7">
                  <wp:extent cx="206734" cy="206734"/>
                  <wp:effectExtent l="0" t="0" r="3175" b="3175"/>
                  <wp:docPr id="45" name="Graphic 4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1559" w:type="dxa"/>
          </w:tcPr>
          <w:p w14:paraId="540A1A22" w14:textId="3805BCBE" w:rsidR="009E3AE8" w:rsidRDefault="009E3AE8" w:rsidP="00733672">
            <w:r>
              <w:t>Do we want to align with AIRC for building our agent endorsement?</w:t>
            </w:r>
          </w:p>
        </w:tc>
        <w:tc>
          <w:tcPr>
            <w:tcW w:w="2552" w:type="dxa"/>
          </w:tcPr>
          <w:p w14:paraId="22997BB8" w14:textId="77777777" w:rsidR="009E3AE8" w:rsidRDefault="009E3AE8" w:rsidP="00733672"/>
        </w:tc>
      </w:tr>
      <w:tr w:rsidR="009E3AE8" w14:paraId="09D9052D" w14:textId="77777777" w:rsidTr="009E3AE8">
        <w:tc>
          <w:tcPr>
            <w:tcW w:w="1418" w:type="dxa"/>
          </w:tcPr>
          <w:p w14:paraId="3617543E" w14:textId="504ADA17" w:rsidR="009E3AE8" w:rsidRDefault="001F68ED" w:rsidP="009C585A">
            <w:pPr>
              <w:rPr>
                <w:b/>
                <w:bCs/>
              </w:rPr>
            </w:pPr>
            <w:hyperlink r:id="rId22" w:history="1">
              <w:r w:rsidR="009E3AE8" w:rsidRPr="00CF075D">
                <w:rPr>
                  <w:rStyle w:val="Hyperlink"/>
                  <w:b/>
                  <w:bCs/>
                </w:rPr>
                <w:t>Resources</w:t>
              </w:r>
            </w:hyperlink>
            <w:r w:rsidR="009E3AE8">
              <w:rPr>
                <w:b/>
                <w:bCs/>
              </w:rPr>
              <w:t xml:space="preserve"> </w:t>
            </w:r>
          </w:p>
          <w:p w14:paraId="036ADB4E" w14:textId="134ADD48" w:rsidR="009E3AE8" w:rsidRPr="00950758" w:rsidRDefault="009E3AE8" w:rsidP="009C585A">
            <w:r>
              <w:t>Item 1</w:t>
            </w:r>
          </w:p>
        </w:tc>
        <w:tc>
          <w:tcPr>
            <w:tcW w:w="3260" w:type="dxa"/>
          </w:tcPr>
          <w:p w14:paraId="356BE8FF" w14:textId="5538CC6F" w:rsidR="009E3AE8" w:rsidRPr="009C585A" w:rsidRDefault="009E3AE8" w:rsidP="00733672">
            <w:r w:rsidRPr="00950758">
              <w:t>Appoint a part-time administrative assistant from 10 January 2022.</w:t>
            </w:r>
            <w:r w:rsidR="00375DF4">
              <w:t xml:space="preserve"> </w:t>
            </w:r>
            <w:r w:rsidR="00375DF4" w:rsidRPr="0007466F">
              <w:rPr>
                <w:color w:val="FF0000"/>
              </w:rPr>
              <w:t>(Unbudgeted cost of $</w:t>
            </w:r>
            <w:r w:rsidR="00375DF4">
              <w:rPr>
                <w:color w:val="FF0000"/>
              </w:rPr>
              <w:t>6.5</w:t>
            </w:r>
            <w:r w:rsidR="00375DF4" w:rsidRPr="0007466F">
              <w:rPr>
                <w:color w:val="FF0000"/>
              </w:rPr>
              <w:t>K in FY22).</w:t>
            </w:r>
          </w:p>
        </w:tc>
        <w:tc>
          <w:tcPr>
            <w:tcW w:w="851" w:type="dxa"/>
          </w:tcPr>
          <w:p w14:paraId="07D6582E" w14:textId="33314B5C" w:rsidR="009E3AE8" w:rsidRDefault="009E3AE8" w:rsidP="00733672">
            <w:r>
              <w:rPr>
                <w:rFonts w:ascii="Arial" w:hAnsi="Arial" w:cs="Arial"/>
                <w:noProof/>
                <w:sz w:val="20"/>
                <w:szCs w:val="20"/>
              </w:rPr>
              <w:drawing>
                <wp:inline distT="0" distB="0" distL="0" distR="0" wp14:anchorId="0524CB7D" wp14:editId="6F9F1D53">
                  <wp:extent cx="206734" cy="206734"/>
                  <wp:effectExtent l="0" t="0" r="3175" b="3175"/>
                  <wp:docPr id="14" name="Graphic 1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567" w:type="dxa"/>
          </w:tcPr>
          <w:p w14:paraId="25160269" w14:textId="620C2BD9" w:rsidR="009E3AE8" w:rsidRDefault="009E3AE8" w:rsidP="00733672">
            <w:r>
              <w:rPr>
                <w:rFonts w:ascii="Arial" w:hAnsi="Arial" w:cs="Arial"/>
                <w:noProof/>
                <w:sz w:val="20"/>
                <w:szCs w:val="20"/>
              </w:rPr>
              <w:drawing>
                <wp:inline distT="0" distB="0" distL="0" distR="0" wp14:anchorId="07FB09AA" wp14:editId="44AE6C77">
                  <wp:extent cx="206734" cy="206734"/>
                  <wp:effectExtent l="0" t="0" r="3175" b="3175"/>
                  <wp:docPr id="25" name="Graphic 2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0D5CA254" w14:textId="2784BD33" w:rsidR="009E3AE8" w:rsidRDefault="009E3AE8" w:rsidP="00733672">
            <w:r>
              <w:rPr>
                <w:rFonts w:ascii="Arial" w:hAnsi="Arial" w:cs="Arial"/>
                <w:noProof/>
                <w:sz w:val="20"/>
                <w:szCs w:val="20"/>
              </w:rPr>
              <w:drawing>
                <wp:inline distT="0" distB="0" distL="0" distR="0" wp14:anchorId="2A5B1F80" wp14:editId="04D44067">
                  <wp:extent cx="206734" cy="206734"/>
                  <wp:effectExtent l="0" t="0" r="3175" b="3175"/>
                  <wp:docPr id="42" name="Graphic 4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1559" w:type="dxa"/>
          </w:tcPr>
          <w:p w14:paraId="45019282" w14:textId="469FDC74" w:rsidR="009E3AE8" w:rsidRDefault="009E3AE8" w:rsidP="00733672">
            <w:r>
              <w:t>Do we invest in tech or invest in people?</w:t>
            </w:r>
          </w:p>
        </w:tc>
        <w:tc>
          <w:tcPr>
            <w:tcW w:w="2552" w:type="dxa"/>
          </w:tcPr>
          <w:p w14:paraId="685E6F19" w14:textId="77777777" w:rsidR="009E3AE8" w:rsidRDefault="009E3AE8" w:rsidP="00733672"/>
        </w:tc>
      </w:tr>
      <w:tr w:rsidR="009E3AE8" w14:paraId="5903D142" w14:textId="77777777" w:rsidTr="009E3AE8">
        <w:tc>
          <w:tcPr>
            <w:tcW w:w="1418" w:type="dxa"/>
          </w:tcPr>
          <w:p w14:paraId="5FFA5F13" w14:textId="58405F5C" w:rsidR="009E3AE8" w:rsidRDefault="001F68ED" w:rsidP="00950758">
            <w:pPr>
              <w:rPr>
                <w:b/>
                <w:bCs/>
              </w:rPr>
            </w:pPr>
            <w:hyperlink r:id="rId23" w:history="1">
              <w:r w:rsidR="009E3AE8" w:rsidRPr="00CF075D">
                <w:rPr>
                  <w:rStyle w:val="Hyperlink"/>
                  <w:b/>
                  <w:bCs/>
                </w:rPr>
                <w:t>Resources</w:t>
              </w:r>
            </w:hyperlink>
            <w:r w:rsidR="009E3AE8">
              <w:rPr>
                <w:b/>
                <w:bCs/>
              </w:rPr>
              <w:t xml:space="preserve"> </w:t>
            </w:r>
          </w:p>
          <w:p w14:paraId="36DD5F1B" w14:textId="2210D4EE" w:rsidR="009E3AE8" w:rsidRDefault="009E3AE8" w:rsidP="00950758">
            <w:pPr>
              <w:rPr>
                <w:b/>
                <w:bCs/>
              </w:rPr>
            </w:pPr>
            <w:r>
              <w:t>Item 2</w:t>
            </w:r>
          </w:p>
        </w:tc>
        <w:tc>
          <w:tcPr>
            <w:tcW w:w="3260" w:type="dxa"/>
          </w:tcPr>
          <w:p w14:paraId="6596669F" w14:textId="257D1721" w:rsidR="009E3AE8" w:rsidRPr="009C585A" w:rsidRDefault="009E3AE8" w:rsidP="00733672">
            <w:r w:rsidRPr="00744FEC">
              <w:t>Appoint a Participating Consultant to the NEAS Board with a skill set related to one or all of the proposed new member categories (education agents, service organisations or ELT professionals) from February 2022 with the intention to appoint as Independent Director after 6-12 months.</w:t>
            </w:r>
          </w:p>
        </w:tc>
        <w:tc>
          <w:tcPr>
            <w:tcW w:w="851" w:type="dxa"/>
          </w:tcPr>
          <w:p w14:paraId="55EBDD78" w14:textId="4634EBB8" w:rsidR="009E3AE8" w:rsidRDefault="009E3AE8" w:rsidP="00733672">
            <w:r>
              <w:rPr>
                <w:rFonts w:ascii="Arial" w:hAnsi="Arial" w:cs="Arial"/>
                <w:noProof/>
                <w:sz w:val="20"/>
                <w:szCs w:val="20"/>
              </w:rPr>
              <w:drawing>
                <wp:inline distT="0" distB="0" distL="0" distR="0" wp14:anchorId="7743C157" wp14:editId="7D5D1C17">
                  <wp:extent cx="206734" cy="206734"/>
                  <wp:effectExtent l="0" t="0" r="3175" b="3175"/>
                  <wp:docPr id="15" name="Graphic 1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567" w:type="dxa"/>
          </w:tcPr>
          <w:p w14:paraId="09C87E06" w14:textId="4B6B21D5" w:rsidR="009E3AE8" w:rsidRDefault="009E3AE8" w:rsidP="00733672">
            <w:r>
              <w:rPr>
                <w:rFonts w:ascii="Arial" w:hAnsi="Arial" w:cs="Arial"/>
                <w:noProof/>
                <w:sz w:val="20"/>
                <w:szCs w:val="20"/>
              </w:rPr>
              <w:drawing>
                <wp:inline distT="0" distB="0" distL="0" distR="0" wp14:anchorId="67FDB541" wp14:editId="0B1F6664">
                  <wp:extent cx="206734" cy="206734"/>
                  <wp:effectExtent l="0" t="0" r="3175" b="3175"/>
                  <wp:docPr id="48" name="Graphic 4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73489C0C" w14:textId="5DB76D28" w:rsidR="009E3AE8" w:rsidRDefault="009E3AE8" w:rsidP="00733672">
            <w:r>
              <w:rPr>
                <w:rFonts w:ascii="Arial" w:hAnsi="Arial" w:cs="Arial"/>
                <w:noProof/>
                <w:sz w:val="20"/>
                <w:szCs w:val="20"/>
              </w:rPr>
              <w:drawing>
                <wp:inline distT="0" distB="0" distL="0" distR="0" wp14:anchorId="60E38B25" wp14:editId="145DEEB3">
                  <wp:extent cx="206734" cy="206734"/>
                  <wp:effectExtent l="0" t="0" r="3175" b="3175"/>
                  <wp:docPr id="43" name="Graphic 4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7">
                            <a:extLst>
                              <a:ext uri="{96DAC541-7B7A-43D3-8B79-37D633B846F1}">
                                <asvg:svgBlip xmlns:asvg="http://schemas.microsoft.com/office/drawing/2016/SVG/main" r:embed="rId8"/>
                              </a:ext>
                            </a:extLst>
                          </a:blip>
                          <a:stretch>
                            <a:fillRect/>
                          </a:stretch>
                        </pic:blipFill>
                        <pic:spPr>
                          <a:xfrm>
                            <a:off x="0" y="0"/>
                            <a:ext cx="219841" cy="219841"/>
                          </a:xfrm>
                          <a:prstGeom prst="rect">
                            <a:avLst/>
                          </a:prstGeom>
                        </pic:spPr>
                      </pic:pic>
                    </a:graphicData>
                  </a:graphic>
                </wp:inline>
              </w:drawing>
            </w:r>
          </w:p>
        </w:tc>
        <w:tc>
          <w:tcPr>
            <w:tcW w:w="1559" w:type="dxa"/>
          </w:tcPr>
          <w:p w14:paraId="549C1A29" w14:textId="4CCEA7E5" w:rsidR="009E3AE8" w:rsidRDefault="009E3AE8" w:rsidP="00733672">
            <w:r>
              <w:t>Can we achieve this outcome by just appointing an additional independent board member?</w:t>
            </w:r>
          </w:p>
        </w:tc>
        <w:tc>
          <w:tcPr>
            <w:tcW w:w="2552" w:type="dxa"/>
          </w:tcPr>
          <w:p w14:paraId="03A4815F" w14:textId="77777777" w:rsidR="009E3AE8" w:rsidRDefault="009E3AE8" w:rsidP="00733672"/>
        </w:tc>
      </w:tr>
      <w:tr w:rsidR="009E3AE8" w14:paraId="54FCF4D5" w14:textId="77777777" w:rsidTr="009E3AE8">
        <w:tc>
          <w:tcPr>
            <w:tcW w:w="1418" w:type="dxa"/>
          </w:tcPr>
          <w:p w14:paraId="07498193" w14:textId="3ED41DFB" w:rsidR="009E3AE8" w:rsidRDefault="001F68ED" w:rsidP="00950758">
            <w:pPr>
              <w:rPr>
                <w:b/>
                <w:bCs/>
              </w:rPr>
            </w:pPr>
            <w:hyperlink r:id="rId24" w:history="1">
              <w:r w:rsidR="009E3AE8" w:rsidRPr="00CF075D">
                <w:rPr>
                  <w:rStyle w:val="Hyperlink"/>
                  <w:b/>
                  <w:bCs/>
                </w:rPr>
                <w:t>Resources</w:t>
              </w:r>
            </w:hyperlink>
            <w:r w:rsidR="009E3AE8">
              <w:rPr>
                <w:b/>
                <w:bCs/>
              </w:rPr>
              <w:t xml:space="preserve"> </w:t>
            </w:r>
          </w:p>
          <w:p w14:paraId="2915328C" w14:textId="1BF3609E" w:rsidR="009E3AE8" w:rsidRDefault="009E3AE8" w:rsidP="00950758">
            <w:pPr>
              <w:rPr>
                <w:b/>
                <w:bCs/>
              </w:rPr>
            </w:pPr>
            <w:r>
              <w:t>Item 3</w:t>
            </w:r>
          </w:p>
        </w:tc>
        <w:tc>
          <w:tcPr>
            <w:tcW w:w="3260" w:type="dxa"/>
          </w:tcPr>
          <w:p w14:paraId="2D40DC62" w14:textId="16C08079" w:rsidR="009E3AE8" w:rsidRPr="009C585A" w:rsidRDefault="009E3AE8" w:rsidP="00733672">
            <w:r w:rsidRPr="001D32BD">
              <w:t>Include an additional member from the Board on the FAIC and the FAIC to be held alongside Board Meetings, so other Board members can attend.</w:t>
            </w:r>
          </w:p>
        </w:tc>
        <w:tc>
          <w:tcPr>
            <w:tcW w:w="851" w:type="dxa"/>
          </w:tcPr>
          <w:p w14:paraId="2C5365EF" w14:textId="726D90AF" w:rsidR="009E3AE8" w:rsidRDefault="009E3AE8" w:rsidP="00733672">
            <w:r>
              <w:rPr>
                <w:rFonts w:ascii="Arial" w:hAnsi="Arial" w:cs="Arial"/>
                <w:noProof/>
                <w:sz w:val="20"/>
                <w:szCs w:val="20"/>
              </w:rPr>
              <w:drawing>
                <wp:inline distT="0" distB="0" distL="0" distR="0" wp14:anchorId="70548461" wp14:editId="75677259">
                  <wp:extent cx="206734" cy="206734"/>
                  <wp:effectExtent l="0" t="0" r="3175" b="3175"/>
                  <wp:docPr id="5" name="Graphic 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2760572C" w14:textId="7283E36D" w:rsidR="009E3AE8" w:rsidRDefault="009E3AE8" w:rsidP="00733672">
            <w:r>
              <w:rPr>
                <w:rFonts w:ascii="Arial" w:hAnsi="Arial" w:cs="Arial"/>
                <w:noProof/>
                <w:sz w:val="20"/>
                <w:szCs w:val="20"/>
              </w:rPr>
              <w:drawing>
                <wp:inline distT="0" distB="0" distL="0" distR="0" wp14:anchorId="48B8B067" wp14:editId="70543728">
                  <wp:extent cx="206734" cy="206734"/>
                  <wp:effectExtent l="0" t="0" r="3175" b="3175"/>
                  <wp:docPr id="26" name="Graphic 2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227ADAC6" w14:textId="3DA464A4" w:rsidR="009E3AE8" w:rsidRDefault="009E3AE8" w:rsidP="00733672">
            <w:r>
              <w:rPr>
                <w:rFonts w:ascii="Arial" w:hAnsi="Arial" w:cs="Arial"/>
                <w:noProof/>
                <w:sz w:val="20"/>
                <w:szCs w:val="20"/>
              </w:rPr>
              <w:drawing>
                <wp:inline distT="0" distB="0" distL="0" distR="0" wp14:anchorId="66B5AD1C" wp14:editId="62BEFA97">
                  <wp:extent cx="206734" cy="206734"/>
                  <wp:effectExtent l="0" t="0" r="3175" b="3175"/>
                  <wp:docPr id="46" name="Graphic 4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1559" w:type="dxa"/>
          </w:tcPr>
          <w:p w14:paraId="167A3C7F" w14:textId="1C9B5480" w:rsidR="009E3AE8" w:rsidRDefault="009E3AE8" w:rsidP="00733672">
            <w:r>
              <w:t>How do we better engage all board members in financial oversight?</w:t>
            </w:r>
          </w:p>
        </w:tc>
        <w:tc>
          <w:tcPr>
            <w:tcW w:w="2552" w:type="dxa"/>
          </w:tcPr>
          <w:p w14:paraId="6A6F903A" w14:textId="77777777" w:rsidR="009E3AE8" w:rsidRDefault="009E3AE8" w:rsidP="00733672"/>
        </w:tc>
      </w:tr>
      <w:tr w:rsidR="009E3AE8" w14:paraId="1F6EF018" w14:textId="77777777" w:rsidTr="009E3AE8">
        <w:tc>
          <w:tcPr>
            <w:tcW w:w="1418" w:type="dxa"/>
          </w:tcPr>
          <w:p w14:paraId="7DFD90F2" w14:textId="329CC395" w:rsidR="009E3AE8" w:rsidRDefault="001F68ED" w:rsidP="006440E2">
            <w:pPr>
              <w:rPr>
                <w:b/>
                <w:bCs/>
              </w:rPr>
            </w:pPr>
            <w:hyperlink r:id="rId25" w:history="1">
              <w:r w:rsidR="009E3AE8" w:rsidRPr="00CF075D">
                <w:rPr>
                  <w:rStyle w:val="Hyperlink"/>
                  <w:b/>
                  <w:bCs/>
                </w:rPr>
                <w:t>Resources</w:t>
              </w:r>
            </w:hyperlink>
            <w:r w:rsidR="009E3AE8">
              <w:rPr>
                <w:b/>
                <w:bCs/>
              </w:rPr>
              <w:t xml:space="preserve"> </w:t>
            </w:r>
          </w:p>
          <w:p w14:paraId="4F8C7AD7" w14:textId="1E2B5C95" w:rsidR="009E3AE8" w:rsidRDefault="009E3AE8" w:rsidP="006440E2">
            <w:pPr>
              <w:rPr>
                <w:b/>
                <w:bCs/>
              </w:rPr>
            </w:pPr>
            <w:r>
              <w:t>Item 4</w:t>
            </w:r>
          </w:p>
        </w:tc>
        <w:tc>
          <w:tcPr>
            <w:tcW w:w="3260" w:type="dxa"/>
          </w:tcPr>
          <w:p w14:paraId="5B516584" w14:textId="033F55CD" w:rsidR="009E3AE8" w:rsidRPr="009C585A" w:rsidRDefault="009E3AE8" w:rsidP="00733672">
            <w:r w:rsidRPr="001D32BD">
              <w:t xml:space="preserve">Formalise the role of Deputy Chair and secure formal </w:t>
            </w:r>
            <w:r w:rsidRPr="001D32BD">
              <w:lastRenderedPageBreak/>
              <w:t>appointment of a Board member in this role.</w:t>
            </w:r>
          </w:p>
        </w:tc>
        <w:tc>
          <w:tcPr>
            <w:tcW w:w="851" w:type="dxa"/>
          </w:tcPr>
          <w:p w14:paraId="5CB069DE" w14:textId="1C9ABCF1" w:rsidR="009E3AE8" w:rsidRDefault="009E3AE8" w:rsidP="00733672">
            <w:r>
              <w:rPr>
                <w:rFonts w:ascii="Arial" w:hAnsi="Arial" w:cs="Arial"/>
                <w:noProof/>
                <w:sz w:val="20"/>
                <w:szCs w:val="20"/>
              </w:rPr>
              <w:lastRenderedPageBreak/>
              <w:drawing>
                <wp:inline distT="0" distB="0" distL="0" distR="0" wp14:anchorId="774F1FB9" wp14:editId="3180E28F">
                  <wp:extent cx="206734" cy="206734"/>
                  <wp:effectExtent l="0" t="0" r="3175" b="3175"/>
                  <wp:docPr id="6" name="Graphic 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5">
                            <a:extLst>
                              <a:ext uri="{96DAC541-7B7A-43D3-8B79-37D633B846F1}">
                                <asvg:svgBlip xmlns:asvg="http://schemas.microsoft.com/office/drawing/2016/SVG/main" r:embed="rId6"/>
                              </a:ext>
                            </a:extLst>
                          </a:blip>
                          <a:stretch>
                            <a:fillRect/>
                          </a:stretch>
                        </pic:blipFill>
                        <pic:spPr>
                          <a:xfrm>
                            <a:off x="0" y="0"/>
                            <a:ext cx="219841" cy="219841"/>
                          </a:xfrm>
                          <a:prstGeom prst="rect">
                            <a:avLst/>
                          </a:prstGeom>
                        </pic:spPr>
                      </pic:pic>
                    </a:graphicData>
                  </a:graphic>
                </wp:inline>
              </w:drawing>
            </w:r>
          </w:p>
        </w:tc>
        <w:tc>
          <w:tcPr>
            <w:tcW w:w="567" w:type="dxa"/>
          </w:tcPr>
          <w:p w14:paraId="46D95839" w14:textId="69D4EE44" w:rsidR="009E3AE8" w:rsidRDefault="009E3AE8" w:rsidP="00733672">
            <w:r>
              <w:rPr>
                <w:rFonts w:ascii="Arial" w:hAnsi="Arial" w:cs="Arial"/>
                <w:noProof/>
                <w:sz w:val="20"/>
                <w:szCs w:val="20"/>
              </w:rPr>
              <w:drawing>
                <wp:inline distT="0" distB="0" distL="0" distR="0" wp14:anchorId="28C5A6E8" wp14:editId="41A0E3F4">
                  <wp:extent cx="206734" cy="206734"/>
                  <wp:effectExtent l="0" t="0" r="3175" b="3175"/>
                  <wp:docPr id="27" name="Graphic 2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567" w:type="dxa"/>
          </w:tcPr>
          <w:p w14:paraId="2F1BF34A" w14:textId="53A05084" w:rsidR="009E3AE8" w:rsidRDefault="009E3AE8" w:rsidP="00733672">
            <w:r>
              <w:rPr>
                <w:rFonts w:ascii="Arial" w:hAnsi="Arial" w:cs="Arial"/>
                <w:noProof/>
                <w:sz w:val="20"/>
                <w:szCs w:val="20"/>
              </w:rPr>
              <w:drawing>
                <wp:inline distT="0" distB="0" distL="0" distR="0" wp14:anchorId="483DB3BD" wp14:editId="0225470F">
                  <wp:extent cx="206734" cy="206734"/>
                  <wp:effectExtent l="0" t="0" r="3175" b="3175"/>
                  <wp:docPr id="47" name="Graphic 4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svg"/>
                          <pic:cNvPicPr/>
                        </pic:nvPicPr>
                        <pic:blipFill>
                          <a:blip r:embed="rId9">
                            <a:extLst>
                              <a:ext uri="{96DAC541-7B7A-43D3-8B79-37D633B846F1}">
                                <asvg:svgBlip xmlns:asvg="http://schemas.microsoft.com/office/drawing/2016/SVG/main" r:embed="rId10"/>
                              </a:ext>
                            </a:extLst>
                          </a:blip>
                          <a:stretch>
                            <a:fillRect/>
                          </a:stretch>
                        </pic:blipFill>
                        <pic:spPr>
                          <a:xfrm>
                            <a:off x="0" y="0"/>
                            <a:ext cx="219841" cy="219841"/>
                          </a:xfrm>
                          <a:prstGeom prst="rect">
                            <a:avLst/>
                          </a:prstGeom>
                        </pic:spPr>
                      </pic:pic>
                    </a:graphicData>
                  </a:graphic>
                </wp:inline>
              </w:drawing>
            </w:r>
          </w:p>
        </w:tc>
        <w:tc>
          <w:tcPr>
            <w:tcW w:w="1559" w:type="dxa"/>
          </w:tcPr>
          <w:p w14:paraId="76DA5F95" w14:textId="3C6D3EF8" w:rsidR="009E3AE8" w:rsidRDefault="004673CF" w:rsidP="00733672">
            <w:r>
              <w:t xml:space="preserve">Are there any other </w:t>
            </w:r>
            <w:r>
              <w:lastRenderedPageBreak/>
              <w:t>suggested improvements to be made to the Board?</w:t>
            </w:r>
          </w:p>
        </w:tc>
        <w:tc>
          <w:tcPr>
            <w:tcW w:w="2552" w:type="dxa"/>
          </w:tcPr>
          <w:p w14:paraId="3291D396" w14:textId="77777777" w:rsidR="009E3AE8" w:rsidRDefault="009E3AE8" w:rsidP="00733672"/>
        </w:tc>
      </w:tr>
    </w:tbl>
    <w:p w14:paraId="494E37AA" w14:textId="77777777" w:rsidR="00733672" w:rsidRDefault="00733672" w:rsidP="00733672"/>
    <w:sectPr w:rsidR="00733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4A1A"/>
    <w:multiLevelType w:val="hybridMultilevel"/>
    <w:tmpl w:val="1CE610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0442329"/>
    <w:multiLevelType w:val="hybridMultilevel"/>
    <w:tmpl w:val="983EE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FE"/>
    <w:rsid w:val="00001B7C"/>
    <w:rsid w:val="0007466F"/>
    <w:rsid w:val="000A0371"/>
    <w:rsid w:val="00151EB8"/>
    <w:rsid w:val="001D32BD"/>
    <w:rsid w:val="001F68ED"/>
    <w:rsid w:val="002037BE"/>
    <w:rsid w:val="00375DF4"/>
    <w:rsid w:val="003E5AF0"/>
    <w:rsid w:val="004673CF"/>
    <w:rsid w:val="0047010A"/>
    <w:rsid w:val="006048FE"/>
    <w:rsid w:val="006440E2"/>
    <w:rsid w:val="00733672"/>
    <w:rsid w:val="00744FEC"/>
    <w:rsid w:val="008F2F6D"/>
    <w:rsid w:val="00950758"/>
    <w:rsid w:val="009A5CAD"/>
    <w:rsid w:val="009C585A"/>
    <w:rsid w:val="009E3AE8"/>
    <w:rsid w:val="00CF075D"/>
    <w:rsid w:val="00FD1AF3"/>
    <w:rsid w:val="00FF6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151F"/>
  <w15:chartTrackingRefBased/>
  <w15:docId w15:val="{FEA47DAE-4E83-4124-B3D7-ADDEEA0C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48FE"/>
    <w:pPr>
      <w:keepNext/>
      <w:keepLines/>
      <w:widowControl w:val="0"/>
      <w:spacing w:before="240" w:after="240" w:line="240" w:lineRule="auto"/>
      <w:outlineLvl w:val="0"/>
    </w:pPr>
    <w:rPr>
      <w:rFonts w:ascii="Arial Bold" w:eastAsiaTheme="majorEastAsia" w:hAnsi="Arial Bold"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8FE"/>
    <w:pPr>
      <w:ind w:left="720"/>
      <w:contextualSpacing/>
    </w:pPr>
  </w:style>
  <w:style w:type="character" w:customStyle="1" w:styleId="Heading1Char">
    <w:name w:val="Heading 1 Char"/>
    <w:basedOn w:val="DefaultParagraphFont"/>
    <w:link w:val="Heading1"/>
    <w:rsid w:val="006048FE"/>
    <w:rPr>
      <w:rFonts w:ascii="Arial Bold" w:eastAsiaTheme="majorEastAsia" w:hAnsi="Arial Bold" w:cs="Arial"/>
      <w:b/>
      <w:bCs/>
      <w:sz w:val="32"/>
      <w:szCs w:val="24"/>
    </w:rPr>
  </w:style>
  <w:style w:type="table" w:styleId="TableGrid">
    <w:name w:val="Table Grid"/>
    <w:basedOn w:val="TableNormal"/>
    <w:uiPriority w:val="39"/>
    <w:rsid w:val="0073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E3AE8"/>
    <w:pPr>
      <w:spacing w:after="0" w:line="240" w:lineRule="auto"/>
    </w:pPr>
    <w:rPr>
      <w:rFonts w:ascii="Helvetica Neue" w:eastAsia="Times New Roman" w:hAnsi="Helvetica Neue" w:cs="Times New Roman"/>
      <w:color w:val="454545"/>
      <w:sz w:val="18"/>
      <w:szCs w:val="18"/>
    </w:rPr>
  </w:style>
  <w:style w:type="character" w:styleId="Hyperlink">
    <w:name w:val="Hyperlink"/>
    <w:basedOn w:val="DefaultParagraphFont"/>
    <w:uiPriority w:val="99"/>
    <w:unhideWhenUsed/>
    <w:rsid w:val="00CF075D"/>
    <w:rPr>
      <w:color w:val="0563C1" w:themeColor="hyperlink"/>
      <w:u w:val="single"/>
    </w:rPr>
  </w:style>
  <w:style w:type="character" w:styleId="UnresolvedMention">
    <w:name w:val="Unresolved Mention"/>
    <w:basedOn w:val="DefaultParagraphFont"/>
    <w:uiPriority w:val="99"/>
    <w:semiHidden/>
    <w:unhideWhenUsed/>
    <w:rsid w:val="00CF075D"/>
    <w:rPr>
      <w:color w:val="605E5C"/>
      <w:shd w:val="clear" w:color="auto" w:fill="E1DFDD"/>
    </w:rPr>
  </w:style>
  <w:style w:type="character" w:styleId="FollowedHyperlink">
    <w:name w:val="FollowedHyperlink"/>
    <w:basedOn w:val="DefaultParagraphFont"/>
    <w:uiPriority w:val="99"/>
    <w:semiHidden/>
    <w:unhideWhenUsed/>
    <w:rsid w:val="00FF6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docs.google.com/document/d/1TXwhJ1W77u6BL2A7WWjtZ5aEsvql10bw?rtpof=true&amp;authuser=p.pheasant%40neas.org.au&amp;usp=drive_fs" TargetMode="External"/><Relationship Id="rId18" Type="http://schemas.openxmlformats.org/officeDocument/2006/relationships/hyperlink" Target="https://docs.google.com/document/d/1Thc9Es4UE8JBKqOJjoksZl_Cwq0INErh?rtpof=true&amp;authuser=p.pheasant%40neas.org.au&amp;usp=drive_f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Thc9Es4UE8JBKqOJjoksZl_Cwq0INErh?rtpof=true&amp;authuser=p.pheasant%40neas.org.au&amp;usp=drive_fs" TargetMode="External"/><Relationship Id="rId7" Type="http://schemas.openxmlformats.org/officeDocument/2006/relationships/image" Target="media/image3.png"/><Relationship Id="rId12" Type="http://schemas.openxmlformats.org/officeDocument/2006/relationships/hyperlink" Target="https://docs.google.com/document/d/1TXwhJ1W77u6BL2A7WWjtZ5aEsvql10bw?rtpof=true&amp;authuser=p.pheasant%40neas.org.au&amp;usp=drive_fs" TargetMode="External"/><Relationship Id="rId17" Type="http://schemas.openxmlformats.org/officeDocument/2006/relationships/hyperlink" Target="https://docs.google.com/document/d/1UbdVMFsgXogPzp2Qt0Z2X4mGCk6__njl?rtpof=true&amp;authuser=p.pheasant%40neas.org.au&amp;usp=drive_fs" TargetMode="External"/><Relationship Id="rId25" Type="http://schemas.openxmlformats.org/officeDocument/2006/relationships/hyperlink" Target="https://docs.google.com/document/d/1TuzG8KRfop2xKOxkwf3pcc6Y7onxlF4P?rtpof=true&amp;authuser=p.pheasant%40neas.org.au&amp;usp=drive_fs" TargetMode="External"/><Relationship Id="rId2" Type="http://schemas.openxmlformats.org/officeDocument/2006/relationships/styles" Target="styles.xml"/><Relationship Id="rId16" Type="http://schemas.openxmlformats.org/officeDocument/2006/relationships/hyperlink" Target="https://docs.google.com/document/d/1UbdVMFsgXogPzp2Qt0Z2X4mGCk6__njl?rtpof=true&amp;authuser=p.pheasant%40neas.org.au&amp;usp=drive_fs" TargetMode="External"/><Relationship Id="rId20" Type="http://schemas.openxmlformats.org/officeDocument/2006/relationships/hyperlink" Target="https://docs.google.com/document/d/1Thc9Es4UE8JBKqOJjoksZl_Cwq0INErh?rtpof=true&amp;authuser=p.pheasant%40neas.org.au&amp;usp=drive_fs"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docs.google.com/document/d/1TXwhJ1W77u6BL2A7WWjtZ5aEsvql10bw?rtpof=true&amp;authuser=p.pheasant%40neas.org.au&amp;usp=drive_fs" TargetMode="External"/><Relationship Id="rId24" Type="http://schemas.openxmlformats.org/officeDocument/2006/relationships/hyperlink" Target="https://docs.google.com/document/d/1TuzG8KRfop2xKOxkwf3pcc6Y7onxlF4P?rtpof=true&amp;authuser=p.pheasant%40neas.org.au&amp;usp=drive_fs" TargetMode="External"/><Relationship Id="rId5" Type="http://schemas.openxmlformats.org/officeDocument/2006/relationships/image" Target="media/image1.png"/><Relationship Id="rId15" Type="http://schemas.openxmlformats.org/officeDocument/2006/relationships/hyperlink" Target="https://docs.google.com/document/d/1UbdVMFsgXogPzp2Qt0Z2X4mGCk6__njl?rtpof=true&amp;authuser=p.pheasant%40neas.org.au&amp;usp=drive_fs" TargetMode="External"/><Relationship Id="rId23" Type="http://schemas.openxmlformats.org/officeDocument/2006/relationships/hyperlink" Target="https://docs.google.com/document/d/1TuzG8KRfop2xKOxkwf3pcc6Y7onxlF4P?rtpof=true&amp;authuser=p.pheasant%40neas.org.au&amp;usp=drive_fs" TargetMode="External"/><Relationship Id="rId10" Type="http://schemas.openxmlformats.org/officeDocument/2006/relationships/image" Target="media/image6.svg"/><Relationship Id="rId19" Type="http://schemas.openxmlformats.org/officeDocument/2006/relationships/hyperlink" Target="https://docs.google.com/document/d/1Thc9Es4UE8JBKqOJjoksZl_Cwq0INErh?rtpof=true&amp;authuser=p.pheasant%40neas.org.au&amp;usp=drive_f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cs.google.com/document/d/1TXwhJ1W77u6BL2A7WWjtZ5aEsvql10bw?rtpof=true&amp;authuser=p.pheasant%40neas.org.au&amp;usp=drive_fs" TargetMode="External"/><Relationship Id="rId22" Type="http://schemas.openxmlformats.org/officeDocument/2006/relationships/hyperlink" Target="https://docs.google.com/document/d/1TuzG8KRfop2xKOxkwf3pcc6Y7onxlF4P?rtpof=true&amp;authuser=p.pheasant%40neas.org.au&amp;usp=drive_f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Pheasant</dc:creator>
  <cp:keywords/>
  <dc:description/>
  <cp:lastModifiedBy>Patrick Pheasant</cp:lastModifiedBy>
  <cp:revision>12</cp:revision>
  <dcterms:created xsi:type="dcterms:W3CDTF">2021-10-06T04:33:00Z</dcterms:created>
  <dcterms:modified xsi:type="dcterms:W3CDTF">2021-10-07T04:03:00Z</dcterms:modified>
</cp:coreProperties>
</file>